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94948" w14:textId="77777777" w:rsidR="000B7810" w:rsidRPr="00657009" w:rsidRDefault="000B7810" w:rsidP="00657009">
      <w:pPr>
        <w:spacing w:after="0" w:line="240" w:lineRule="auto"/>
        <w:jc w:val="center"/>
        <w:rPr>
          <w:rFonts w:ascii="Times New Roman" w:hAnsi="Times New Roman"/>
          <w:sz w:val="24"/>
          <w:szCs w:val="24"/>
        </w:rPr>
      </w:pPr>
    </w:p>
    <w:p w14:paraId="294D112B" w14:textId="77777777" w:rsidR="000B7810" w:rsidRPr="00657009" w:rsidRDefault="000B7810" w:rsidP="00657009">
      <w:pPr>
        <w:spacing w:after="0" w:line="240" w:lineRule="auto"/>
        <w:jc w:val="center"/>
        <w:rPr>
          <w:rFonts w:ascii="Times New Roman" w:hAnsi="Times New Roman"/>
          <w:sz w:val="24"/>
          <w:szCs w:val="24"/>
        </w:rPr>
      </w:pPr>
    </w:p>
    <w:p w14:paraId="0C987970" w14:textId="77777777" w:rsidR="008E076C" w:rsidRPr="00657009" w:rsidRDefault="008E076C" w:rsidP="00657009">
      <w:pPr>
        <w:spacing w:after="0" w:line="240" w:lineRule="auto"/>
        <w:jc w:val="center"/>
        <w:rPr>
          <w:rFonts w:ascii="Times New Roman" w:hAnsi="Times New Roman"/>
          <w:sz w:val="24"/>
          <w:szCs w:val="24"/>
        </w:rPr>
      </w:pPr>
    </w:p>
    <w:p w14:paraId="507776DB" w14:textId="77777777" w:rsidR="007D1E76" w:rsidRPr="00E74967" w:rsidRDefault="00800C90" w:rsidP="007D1E76">
      <w:pPr>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7D1E76">
      <w:pPr>
        <w:spacing w:after="0" w:line="240" w:lineRule="auto"/>
        <w:jc w:val="both"/>
        <w:rPr>
          <w:rFonts w:cs="Calibri"/>
        </w:rPr>
      </w:pPr>
    </w:p>
    <w:p w14:paraId="2F65D88B" w14:textId="77777777" w:rsidR="007D1E76" w:rsidRPr="00E74967" w:rsidRDefault="007D1E76" w:rsidP="007D1E76">
      <w:pPr>
        <w:spacing w:after="0" w:line="240" w:lineRule="auto"/>
        <w:jc w:val="both"/>
        <w:rPr>
          <w:rFonts w:cs="Calibri"/>
        </w:rPr>
      </w:pPr>
    </w:p>
    <w:p w14:paraId="713110D4" w14:textId="77777777" w:rsidR="007D1E76" w:rsidRPr="00E74967" w:rsidRDefault="007D1E76" w:rsidP="007D1E76">
      <w:pPr>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7D1E76">
      <w:pPr>
        <w:spacing w:after="0" w:line="240" w:lineRule="auto"/>
        <w:jc w:val="both"/>
        <w:rPr>
          <w:rFonts w:cs="Calibri"/>
        </w:rPr>
      </w:pPr>
    </w:p>
    <w:p w14:paraId="25F26DDB" w14:textId="77777777" w:rsidR="007D1E76" w:rsidRPr="00E74967" w:rsidRDefault="007D1E76" w:rsidP="007D1E76">
      <w:pPr>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7D1E76">
      <w:pPr>
        <w:spacing w:after="0" w:line="240" w:lineRule="auto"/>
        <w:jc w:val="both"/>
        <w:rPr>
          <w:rFonts w:cs="Calibri"/>
        </w:rPr>
      </w:pPr>
    </w:p>
    <w:p w14:paraId="559642E6" w14:textId="77777777" w:rsidR="007D1E76" w:rsidRPr="00E74967" w:rsidRDefault="007D1E76" w:rsidP="007D1E76">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7D1E76">
      <w:pPr>
        <w:pStyle w:val="Prrafodelista"/>
        <w:spacing w:after="0" w:line="240" w:lineRule="auto"/>
        <w:jc w:val="both"/>
        <w:rPr>
          <w:rFonts w:cs="Calibri"/>
        </w:rPr>
      </w:pPr>
    </w:p>
    <w:p w14:paraId="64420E1E" w14:textId="77777777" w:rsidR="007D1E76" w:rsidRPr="00E74967" w:rsidRDefault="007D1E76" w:rsidP="007D1E76">
      <w:pPr>
        <w:pStyle w:val="Prrafodelista"/>
        <w:numPr>
          <w:ilvl w:val="0"/>
          <w:numId w:val="1"/>
        </w:numPr>
        <w:spacing w:after="0" w:line="240" w:lineRule="auto"/>
        <w:jc w:val="both"/>
        <w:rPr>
          <w:rFonts w:cs="Calibri"/>
        </w:rPr>
      </w:pPr>
      <w:r w:rsidRPr="00E74967">
        <w:rPr>
          <w:rFonts w:cs="Calibri"/>
        </w:rPr>
        <w:t>Las notas de gestión administrativa deben contener los siguientes puntos:</w:t>
      </w:r>
    </w:p>
    <w:p w14:paraId="552470B0" w14:textId="77777777" w:rsidR="007D1E76" w:rsidRPr="00E74967" w:rsidRDefault="007D1E76" w:rsidP="007D1E76">
      <w:pPr>
        <w:spacing w:after="0" w:line="240" w:lineRule="auto"/>
        <w:jc w:val="both"/>
        <w:rPr>
          <w:rFonts w:cs="Calibri"/>
        </w:rPr>
      </w:pPr>
    </w:p>
    <w:p w14:paraId="7203E26E" w14:textId="77777777" w:rsidR="007D1E76" w:rsidRPr="00E74967" w:rsidRDefault="007D1E76" w:rsidP="007D1E76">
      <w:pPr>
        <w:spacing w:after="0" w:line="240" w:lineRule="auto"/>
        <w:jc w:val="both"/>
        <w:rPr>
          <w:rFonts w:cs="Calibri"/>
        </w:rPr>
      </w:pPr>
    </w:p>
    <w:p w14:paraId="1A1295A4" w14:textId="77777777" w:rsidR="007D1E76" w:rsidRPr="00AD7D91" w:rsidRDefault="007D1E76" w:rsidP="007D1E76">
      <w:pPr>
        <w:spacing w:after="0" w:line="240" w:lineRule="auto"/>
        <w:jc w:val="both"/>
        <w:rPr>
          <w:rFonts w:cs="Calibri"/>
          <w:color w:val="C00000"/>
        </w:rPr>
      </w:pPr>
      <w:r w:rsidRPr="00AD7D91">
        <w:rPr>
          <w:rFonts w:cs="Calibri"/>
          <w:b/>
          <w:color w:val="C00000"/>
        </w:rPr>
        <w:t>1. Introducción:</w:t>
      </w:r>
    </w:p>
    <w:p w14:paraId="56037BD5" w14:textId="77777777" w:rsidR="007D1E76" w:rsidRPr="00137BB4" w:rsidRDefault="007D1E76" w:rsidP="007D1E76">
      <w:pPr>
        <w:spacing w:after="0" w:line="240" w:lineRule="auto"/>
        <w:jc w:val="both"/>
        <w:rPr>
          <w:rFonts w:cs="Calibri"/>
          <w:color w:val="2E74B5" w:themeColor="accent1" w:themeShade="BF"/>
        </w:rPr>
      </w:pPr>
      <w:r w:rsidRPr="00137BB4">
        <w:rPr>
          <w:rFonts w:cs="Calibri"/>
          <w:color w:val="2E74B5" w:themeColor="accent1" w:themeShade="BF"/>
        </w:rPr>
        <w:t>Breve descripción de las actividades principales de la entidad.</w:t>
      </w:r>
    </w:p>
    <w:p w14:paraId="51C48320" w14:textId="77777777" w:rsidR="00D10435" w:rsidRPr="00E74967" w:rsidRDefault="00D10435" w:rsidP="007D1E76">
      <w:pPr>
        <w:spacing w:after="0" w:line="240" w:lineRule="auto"/>
        <w:jc w:val="both"/>
        <w:rPr>
          <w:rFonts w:cs="Calibri"/>
        </w:rPr>
      </w:pPr>
    </w:p>
    <w:p w14:paraId="0362C901" w14:textId="5D9FAD34" w:rsidR="007D1E76" w:rsidRPr="00D10435" w:rsidRDefault="00D10435" w:rsidP="007D1E76">
      <w:pPr>
        <w:spacing w:after="0" w:line="240" w:lineRule="auto"/>
        <w:jc w:val="both"/>
        <w:rPr>
          <w:rFonts w:cs="Calibri"/>
          <w:i/>
        </w:rPr>
      </w:pPr>
      <w:r w:rsidRPr="00D10435">
        <w:rPr>
          <w:rFonts w:ascii="Arial" w:hAnsi="Arial" w:cs="Arial"/>
          <w:i/>
          <w:sz w:val="20"/>
          <w:szCs w:val="20"/>
        </w:rPr>
        <w:t>Corresponde al Sistema de Agua Potable y Alcantarillado de Romita Guanajuato, la detección, extracción, conducción y potabilización del agua, la planeación, construcción, mantenimiento, rehabilitación y ampliación de las redes y del equipo necesario para el suministro de este servicio a la población de la zona Urbana y Comunidades adheridas de Romita, Guanajuato, así como prevenir y controlar la contaminación de las aguas que se descargan en los sistemas de drenaje y a los alcantarillados, así como del tratamiento, disposición y comercialización de las aguas residuales y lodos.</w:t>
      </w:r>
    </w:p>
    <w:p w14:paraId="7FC5E966" w14:textId="77777777" w:rsidR="007D1E76" w:rsidRPr="00E74967" w:rsidRDefault="007D1E76" w:rsidP="007D1E76">
      <w:pPr>
        <w:spacing w:after="0" w:line="240" w:lineRule="auto"/>
        <w:jc w:val="both"/>
        <w:rPr>
          <w:rFonts w:cs="Calibri"/>
        </w:rPr>
      </w:pPr>
    </w:p>
    <w:p w14:paraId="6697FD8A" w14:textId="77777777" w:rsidR="007D1E76" w:rsidRPr="00192858" w:rsidRDefault="007D1E76" w:rsidP="007D1E76">
      <w:pPr>
        <w:spacing w:after="0" w:line="240" w:lineRule="auto"/>
        <w:jc w:val="both"/>
        <w:rPr>
          <w:rFonts w:cs="Calibri"/>
          <w:b/>
          <w:color w:val="C00000"/>
        </w:rPr>
      </w:pPr>
      <w:r w:rsidRPr="00192858">
        <w:rPr>
          <w:rFonts w:cs="Calibri"/>
          <w:b/>
          <w:color w:val="C00000"/>
        </w:rPr>
        <w:t>2. Describir el pan</w:t>
      </w:r>
      <w:r w:rsidR="00E00323" w:rsidRPr="00192858">
        <w:rPr>
          <w:rFonts w:cs="Calibri"/>
          <w:b/>
          <w:color w:val="C00000"/>
        </w:rPr>
        <w:t>orama Económico y Financiero:</w:t>
      </w:r>
    </w:p>
    <w:p w14:paraId="6FE69157" w14:textId="77777777" w:rsidR="007D1E76" w:rsidRPr="00192858" w:rsidRDefault="007D1E76" w:rsidP="007D1E76">
      <w:pPr>
        <w:spacing w:after="0" w:line="240" w:lineRule="auto"/>
        <w:jc w:val="both"/>
        <w:rPr>
          <w:rFonts w:cs="Calibri"/>
        </w:rPr>
      </w:pPr>
    </w:p>
    <w:p w14:paraId="7B629A42" w14:textId="77777777" w:rsidR="007D1E76" w:rsidRPr="00E74967" w:rsidRDefault="007D1E76" w:rsidP="007D1E76">
      <w:pPr>
        <w:spacing w:after="0" w:line="240" w:lineRule="auto"/>
        <w:jc w:val="both"/>
        <w:rPr>
          <w:rFonts w:cs="Calibri"/>
        </w:rPr>
      </w:pPr>
      <w:r w:rsidRPr="00192858">
        <w:rPr>
          <w:rFonts w:cs="Calibri"/>
          <w:color w:val="2E74B5" w:themeColor="accent1" w:themeShade="BF"/>
        </w:rPr>
        <w:t>Se informará sobre las principales condiciones económico-financieras bajo las cuales el ente público estuvo operando; y las cuales influyeron en la toma de decisiones de la administración; tanto</w:t>
      </w:r>
      <w:r w:rsidR="00E00323" w:rsidRPr="00192858">
        <w:rPr>
          <w:rFonts w:cs="Calibri"/>
          <w:color w:val="2E74B5" w:themeColor="accent1" w:themeShade="BF"/>
        </w:rPr>
        <w:t xml:space="preserve"> a nivel local como federal</w:t>
      </w:r>
      <w:r w:rsidR="00E00323" w:rsidRPr="00192858">
        <w:rPr>
          <w:rFonts w:cs="Calibri"/>
        </w:rPr>
        <w:t>.</w:t>
      </w:r>
    </w:p>
    <w:p w14:paraId="10C4C64C"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00323"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Pr="00E74967">
        <w:rPr>
          <w:rFonts w:cs="Calibri"/>
        </w:rPr>
        <w:t>______________________________________________________________________</w:t>
      </w:r>
    </w:p>
    <w:p w14:paraId="67F80FDF" w14:textId="77777777" w:rsidR="007D1E76" w:rsidRPr="00E74967" w:rsidRDefault="007D1E76" w:rsidP="007D1E76">
      <w:pPr>
        <w:spacing w:after="0" w:line="240" w:lineRule="auto"/>
        <w:jc w:val="both"/>
        <w:rPr>
          <w:rFonts w:cs="Calibri"/>
        </w:rPr>
      </w:pPr>
    </w:p>
    <w:p w14:paraId="3285DC0B" w14:textId="77777777" w:rsidR="007D1E76" w:rsidRPr="00E74967" w:rsidRDefault="007D1E76" w:rsidP="007D1E76">
      <w:pPr>
        <w:spacing w:after="0" w:line="240" w:lineRule="auto"/>
        <w:jc w:val="both"/>
        <w:rPr>
          <w:rFonts w:cs="Calibri"/>
        </w:rPr>
      </w:pPr>
    </w:p>
    <w:p w14:paraId="54575967" w14:textId="77777777" w:rsidR="007D1E76" w:rsidRPr="00AD7D91" w:rsidRDefault="007D1E76" w:rsidP="007D1E76">
      <w:pPr>
        <w:spacing w:after="0" w:line="240" w:lineRule="auto"/>
        <w:jc w:val="both"/>
        <w:rPr>
          <w:rFonts w:cs="Calibri"/>
          <w:b/>
          <w:color w:val="C00000"/>
        </w:rPr>
      </w:pPr>
      <w:r w:rsidRPr="00AD7D91">
        <w:rPr>
          <w:rFonts w:cs="Calibri"/>
          <w:b/>
          <w:color w:val="C00000"/>
        </w:rPr>
        <w:t>3. Autoriza</w:t>
      </w:r>
      <w:r w:rsidR="00E00323" w:rsidRPr="00AD7D91">
        <w:rPr>
          <w:rFonts w:cs="Calibri"/>
          <w:b/>
          <w:color w:val="C00000"/>
        </w:rPr>
        <w:t>ción e Historia:</w:t>
      </w:r>
    </w:p>
    <w:p w14:paraId="360DA23B" w14:textId="77777777" w:rsidR="007D1E76" w:rsidRPr="00E74967" w:rsidRDefault="007D1E76" w:rsidP="007D1E76">
      <w:pPr>
        <w:spacing w:after="0" w:line="240" w:lineRule="auto"/>
        <w:jc w:val="both"/>
        <w:rPr>
          <w:rFonts w:cs="Calibri"/>
        </w:rPr>
      </w:pPr>
    </w:p>
    <w:p w14:paraId="441574CB" w14:textId="77777777" w:rsidR="007D1E76" w:rsidRPr="00AD7D91" w:rsidRDefault="007D1E76" w:rsidP="007D1E76">
      <w:pPr>
        <w:spacing w:after="0" w:line="240" w:lineRule="auto"/>
        <w:jc w:val="both"/>
        <w:rPr>
          <w:rFonts w:cs="Calibri"/>
          <w:color w:val="2E74B5" w:themeColor="accent1" w:themeShade="BF"/>
        </w:rPr>
      </w:pPr>
      <w:r w:rsidRPr="00AD7D91">
        <w:rPr>
          <w:rFonts w:cs="Calibri"/>
          <w:color w:val="2E74B5" w:themeColor="accent1" w:themeShade="BF"/>
        </w:rPr>
        <w:t>Se informará sobre:</w:t>
      </w:r>
    </w:p>
    <w:p w14:paraId="062E74E7" w14:textId="77777777" w:rsidR="007D1E76" w:rsidRPr="00AD7D91" w:rsidRDefault="007D1E76" w:rsidP="007D1E76">
      <w:pPr>
        <w:spacing w:after="0" w:line="240" w:lineRule="auto"/>
        <w:jc w:val="both"/>
        <w:rPr>
          <w:rFonts w:cs="Calibri"/>
          <w:color w:val="2E74B5" w:themeColor="accent1" w:themeShade="BF"/>
        </w:rPr>
      </w:pPr>
    </w:p>
    <w:p w14:paraId="3F477DA3" w14:textId="77777777" w:rsidR="007D1E76" w:rsidRPr="00AD7D91" w:rsidRDefault="007D1E76" w:rsidP="007D1E76">
      <w:pPr>
        <w:spacing w:after="0" w:line="240" w:lineRule="auto"/>
        <w:jc w:val="both"/>
        <w:rPr>
          <w:rFonts w:cs="Calibri"/>
          <w:color w:val="2E74B5" w:themeColor="accent1" w:themeShade="BF"/>
        </w:rPr>
      </w:pPr>
      <w:r w:rsidRPr="00AD7D91">
        <w:rPr>
          <w:rFonts w:cs="Calibri"/>
          <w:b/>
          <w:color w:val="2E74B5" w:themeColor="accent1" w:themeShade="BF"/>
        </w:rPr>
        <w:t>a)</w:t>
      </w:r>
      <w:r w:rsidRPr="00AD7D91">
        <w:rPr>
          <w:rFonts w:cs="Calibri"/>
          <w:color w:val="2E74B5" w:themeColor="accent1" w:themeShade="BF"/>
        </w:rPr>
        <w:t xml:space="preserve"> Fecha de creación del ente.</w:t>
      </w:r>
    </w:p>
    <w:p w14:paraId="102EB9B6" w14:textId="77777777" w:rsidR="000A63E8" w:rsidRDefault="000A63E8" w:rsidP="007D1E76">
      <w:pPr>
        <w:spacing w:after="0" w:line="240" w:lineRule="auto"/>
        <w:jc w:val="both"/>
        <w:rPr>
          <w:rFonts w:ascii="Arial" w:hAnsi="Arial" w:cs="Arial"/>
          <w:i/>
          <w:sz w:val="20"/>
          <w:szCs w:val="20"/>
        </w:rPr>
      </w:pPr>
    </w:p>
    <w:p w14:paraId="4F52E4E0" w14:textId="5D0106A5" w:rsidR="007D1E76" w:rsidRPr="000A63E8" w:rsidRDefault="000A63E8" w:rsidP="007D1E76">
      <w:pPr>
        <w:spacing w:after="0" w:line="240" w:lineRule="auto"/>
        <w:jc w:val="both"/>
        <w:rPr>
          <w:rFonts w:ascii="Arial" w:hAnsi="Arial" w:cs="Arial"/>
          <w:i/>
          <w:sz w:val="20"/>
          <w:szCs w:val="20"/>
        </w:rPr>
      </w:pPr>
      <w:r w:rsidRPr="000A63E8">
        <w:rPr>
          <w:rFonts w:ascii="Arial" w:hAnsi="Arial" w:cs="Arial"/>
          <w:i/>
          <w:sz w:val="20"/>
          <w:szCs w:val="20"/>
        </w:rPr>
        <w:lastRenderedPageBreak/>
        <w:t>26 de Septiembre de 1992</w:t>
      </w:r>
    </w:p>
    <w:p w14:paraId="6E2D5ACB" w14:textId="49D557A1" w:rsidR="000A63E8" w:rsidRPr="000A63E8" w:rsidRDefault="000A63E8" w:rsidP="007D1E76">
      <w:pPr>
        <w:spacing w:after="0" w:line="240" w:lineRule="auto"/>
        <w:jc w:val="both"/>
        <w:rPr>
          <w:rFonts w:ascii="Arial" w:hAnsi="Arial" w:cs="Arial"/>
          <w:i/>
          <w:sz w:val="20"/>
          <w:szCs w:val="20"/>
        </w:rPr>
      </w:pPr>
      <w:r w:rsidRPr="000A63E8">
        <w:rPr>
          <w:rFonts w:ascii="Arial" w:hAnsi="Arial" w:cs="Arial"/>
          <w:i/>
          <w:sz w:val="20"/>
          <w:szCs w:val="20"/>
        </w:rPr>
        <w:t>(</w:t>
      </w:r>
      <w:r>
        <w:rPr>
          <w:rFonts w:ascii="Arial" w:hAnsi="Arial" w:cs="Arial"/>
          <w:i/>
          <w:sz w:val="20"/>
          <w:szCs w:val="20"/>
        </w:rPr>
        <w:t>P</w:t>
      </w:r>
      <w:r w:rsidRPr="000A63E8">
        <w:rPr>
          <w:rFonts w:ascii="Arial" w:hAnsi="Arial" w:cs="Arial"/>
          <w:i/>
          <w:sz w:val="20"/>
          <w:szCs w:val="20"/>
        </w:rPr>
        <w:t>ublicación</w:t>
      </w:r>
      <w:r>
        <w:rPr>
          <w:rFonts w:ascii="Arial" w:hAnsi="Arial" w:cs="Arial"/>
          <w:i/>
          <w:sz w:val="20"/>
          <w:szCs w:val="20"/>
        </w:rPr>
        <w:t xml:space="preserve"> </w:t>
      </w:r>
      <w:r w:rsidRPr="000A63E8">
        <w:rPr>
          <w:rFonts w:ascii="Arial" w:hAnsi="Arial" w:cs="Arial"/>
          <w:i/>
          <w:sz w:val="20"/>
          <w:szCs w:val="20"/>
        </w:rPr>
        <w:t>periódico oficial de fecha 19 de febrero de 1993)</w:t>
      </w:r>
    </w:p>
    <w:p w14:paraId="182C3A4A" w14:textId="77777777" w:rsidR="000A63E8" w:rsidRPr="00E74967" w:rsidRDefault="000A63E8" w:rsidP="007D1E76">
      <w:pPr>
        <w:spacing w:after="0" w:line="240" w:lineRule="auto"/>
        <w:jc w:val="both"/>
        <w:rPr>
          <w:rFonts w:cs="Calibri"/>
        </w:rPr>
      </w:pPr>
    </w:p>
    <w:p w14:paraId="3A2353BF" w14:textId="77777777" w:rsidR="007D1E76" w:rsidRPr="00AD7D91" w:rsidRDefault="007D1E76" w:rsidP="007D1E76">
      <w:pPr>
        <w:spacing w:after="0" w:line="240" w:lineRule="auto"/>
        <w:jc w:val="both"/>
        <w:rPr>
          <w:rFonts w:cs="Calibri"/>
          <w:color w:val="2E74B5" w:themeColor="accent1" w:themeShade="BF"/>
        </w:rPr>
      </w:pPr>
      <w:r w:rsidRPr="00AD7D91">
        <w:rPr>
          <w:rFonts w:cs="Calibri"/>
          <w:b/>
          <w:color w:val="2E74B5" w:themeColor="accent1" w:themeShade="BF"/>
        </w:rPr>
        <w:t>b)</w:t>
      </w:r>
      <w:r w:rsidRPr="00AD7D91">
        <w:rPr>
          <w:rFonts w:cs="Calibri"/>
          <w:color w:val="2E74B5" w:themeColor="accent1" w:themeShade="BF"/>
        </w:rPr>
        <w:t xml:space="preserve"> Principales cambios en su estructura (interna históricamente).</w:t>
      </w:r>
    </w:p>
    <w:p w14:paraId="45932019" w14:textId="77777777" w:rsidR="007D1E76" w:rsidRPr="00AD7D91" w:rsidRDefault="007D1E76" w:rsidP="007D1E76">
      <w:pPr>
        <w:spacing w:after="0" w:line="240" w:lineRule="auto"/>
        <w:jc w:val="both"/>
        <w:rPr>
          <w:rFonts w:cs="Calibri"/>
          <w:color w:val="2E74B5" w:themeColor="accent1" w:themeShade="BF"/>
        </w:rPr>
      </w:pPr>
    </w:p>
    <w:p w14:paraId="3463B304" w14:textId="6FD76995" w:rsidR="000A63E8" w:rsidRPr="000A63E8" w:rsidRDefault="000A63E8" w:rsidP="007D1E76">
      <w:pPr>
        <w:spacing w:after="0" w:line="240" w:lineRule="auto"/>
        <w:jc w:val="both"/>
        <w:rPr>
          <w:rFonts w:ascii="Arial" w:hAnsi="Arial" w:cs="Arial"/>
          <w:i/>
          <w:sz w:val="20"/>
          <w:szCs w:val="20"/>
        </w:rPr>
      </w:pPr>
      <w:r w:rsidRPr="000A63E8">
        <w:rPr>
          <w:rFonts w:ascii="Arial" w:hAnsi="Arial" w:cs="Arial"/>
          <w:i/>
          <w:sz w:val="20"/>
          <w:szCs w:val="20"/>
        </w:rPr>
        <w:t>23 de Agosto de 1995</w:t>
      </w:r>
    </w:p>
    <w:p w14:paraId="188F957B" w14:textId="087966A6" w:rsidR="000A63E8" w:rsidRPr="000A63E8" w:rsidRDefault="000A63E8" w:rsidP="007D1E76">
      <w:pPr>
        <w:spacing w:after="0" w:line="240" w:lineRule="auto"/>
        <w:jc w:val="both"/>
        <w:rPr>
          <w:rFonts w:ascii="Arial" w:hAnsi="Arial" w:cs="Arial"/>
          <w:i/>
          <w:sz w:val="20"/>
          <w:szCs w:val="20"/>
        </w:rPr>
      </w:pPr>
      <w:r w:rsidRPr="000A63E8">
        <w:rPr>
          <w:rFonts w:ascii="Arial" w:hAnsi="Arial" w:cs="Arial"/>
          <w:i/>
          <w:sz w:val="20"/>
          <w:szCs w:val="20"/>
        </w:rPr>
        <w:t>Sistema de Agua Potable y Alcantarillado de Romita</w:t>
      </w:r>
    </w:p>
    <w:p w14:paraId="35FA5DC2" w14:textId="11B09996" w:rsidR="000A63E8" w:rsidRPr="000A63E8" w:rsidRDefault="000A63E8" w:rsidP="007D1E76">
      <w:pPr>
        <w:spacing w:after="0" w:line="240" w:lineRule="auto"/>
        <w:jc w:val="both"/>
        <w:rPr>
          <w:rFonts w:ascii="Arial" w:hAnsi="Arial" w:cs="Arial"/>
          <w:i/>
          <w:sz w:val="20"/>
          <w:szCs w:val="20"/>
        </w:rPr>
      </w:pPr>
      <w:r w:rsidRPr="000A63E8">
        <w:rPr>
          <w:rFonts w:ascii="Arial" w:hAnsi="Arial" w:cs="Arial"/>
          <w:i/>
          <w:sz w:val="20"/>
          <w:szCs w:val="20"/>
        </w:rPr>
        <w:t>Se hace el registro ante la Secretaria Hacienda y Crédito Público</w:t>
      </w:r>
      <w:r>
        <w:rPr>
          <w:rFonts w:ascii="Arial" w:hAnsi="Arial" w:cs="Arial"/>
          <w:i/>
          <w:sz w:val="20"/>
          <w:szCs w:val="20"/>
        </w:rPr>
        <w:t xml:space="preserve"> y</w:t>
      </w:r>
    </w:p>
    <w:p w14:paraId="590E97FD" w14:textId="763CB31F" w:rsidR="000A63E8" w:rsidRPr="000A63E8" w:rsidRDefault="000A63E8" w:rsidP="007D1E76">
      <w:pPr>
        <w:spacing w:after="0" w:line="240" w:lineRule="auto"/>
        <w:jc w:val="both"/>
        <w:rPr>
          <w:rFonts w:ascii="Arial" w:hAnsi="Arial" w:cs="Arial"/>
          <w:i/>
          <w:sz w:val="20"/>
          <w:szCs w:val="20"/>
        </w:rPr>
      </w:pPr>
      <w:proofErr w:type="gramStart"/>
      <w:r w:rsidRPr="000A63E8">
        <w:rPr>
          <w:rFonts w:ascii="Arial" w:hAnsi="Arial" w:cs="Arial"/>
          <w:i/>
          <w:sz w:val="20"/>
          <w:szCs w:val="20"/>
        </w:rPr>
        <w:t>el</w:t>
      </w:r>
      <w:proofErr w:type="gramEnd"/>
      <w:r w:rsidRPr="000A63E8">
        <w:rPr>
          <w:rFonts w:ascii="Arial" w:hAnsi="Arial" w:cs="Arial"/>
          <w:i/>
          <w:sz w:val="20"/>
          <w:szCs w:val="20"/>
        </w:rPr>
        <w:t xml:space="preserve"> Servicio de Administración Tributaria</w:t>
      </w:r>
    </w:p>
    <w:p w14:paraId="3843474F" w14:textId="77777777" w:rsidR="007D1E76" w:rsidRPr="00E74967" w:rsidRDefault="007D1E76" w:rsidP="007D1E76">
      <w:pPr>
        <w:spacing w:after="0" w:line="240" w:lineRule="auto"/>
        <w:jc w:val="both"/>
        <w:rPr>
          <w:rFonts w:cs="Calibri"/>
        </w:rPr>
      </w:pPr>
    </w:p>
    <w:p w14:paraId="08136E94" w14:textId="77777777" w:rsidR="007D1E76" w:rsidRPr="00AD7D91" w:rsidRDefault="007D1E76" w:rsidP="007D1E76">
      <w:pPr>
        <w:spacing w:after="0" w:line="240" w:lineRule="auto"/>
        <w:jc w:val="both"/>
        <w:rPr>
          <w:rFonts w:cs="Calibri"/>
          <w:b/>
          <w:color w:val="C00000"/>
        </w:rPr>
      </w:pPr>
      <w:r w:rsidRPr="00AD7D91">
        <w:rPr>
          <w:rFonts w:cs="Calibri"/>
          <w:b/>
          <w:color w:val="C00000"/>
        </w:rPr>
        <w:t xml:space="preserve">4. </w:t>
      </w:r>
      <w:r w:rsidR="00E00323" w:rsidRPr="00AD7D91">
        <w:rPr>
          <w:rFonts w:cs="Calibri"/>
          <w:b/>
          <w:color w:val="C00000"/>
        </w:rPr>
        <w:t>Organización y Objeto Social:</w:t>
      </w:r>
    </w:p>
    <w:p w14:paraId="6C85E52D" w14:textId="77777777" w:rsidR="007D1E76" w:rsidRPr="00E74967" w:rsidRDefault="007D1E76" w:rsidP="007D1E76">
      <w:pPr>
        <w:spacing w:after="0" w:line="240" w:lineRule="auto"/>
        <w:jc w:val="both"/>
        <w:rPr>
          <w:rFonts w:cs="Calibri"/>
        </w:rPr>
      </w:pPr>
    </w:p>
    <w:p w14:paraId="67B5DF23" w14:textId="77777777" w:rsidR="007D1E76" w:rsidRPr="00AD7D91" w:rsidRDefault="007D1E76" w:rsidP="007D1E76">
      <w:pPr>
        <w:spacing w:after="0" w:line="240" w:lineRule="auto"/>
        <w:jc w:val="both"/>
        <w:rPr>
          <w:rFonts w:cs="Calibri"/>
          <w:color w:val="2E74B5" w:themeColor="accent1" w:themeShade="BF"/>
        </w:rPr>
      </w:pPr>
      <w:r w:rsidRPr="00AD7D91">
        <w:rPr>
          <w:rFonts w:cs="Calibri"/>
          <w:color w:val="2E74B5" w:themeColor="accent1" w:themeShade="BF"/>
        </w:rPr>
        <w:t>Se informará sobre:</w:t>
      </w:r>
    </w:p>
    <w:p w14:paraId="473E4237" w14:textId="77777777" w:rsidR="007D1E76" w:rsidRPr="00AD7D91" w:rsidRDefault="007D1E76" w:rsidP="007D1E76">
      <w:pPr>
        <w:spacing w:after="0" w:line="240" w:lineRule="auto"/>
        <w:jc w:val="both"/>
        <w:rPr>
          <w:rFonts w:cs="Calibri"/>
          <w:color w:val="2E74B5" w:themeColor="accent1" w:themeShade="BF"/>
        </w:rPr>
      </w:pPr>
    </w:p>
    <w:p w14:paraId="3A7F2587" w14:textId="77777777" w:rsidR="007D1E76" w:rsidRPr="00AD7D91" w:rsidRDefault="007D1E76" w:rsidP="007D1E76">
      <w:pPr>
        <w:spacing w:after="0" w:line="240" w:lineRule="auto"/>
        <w:jc w:val="both"/>
        <w:rPr>
          <w:rFonts w:cs="Calibri"/>
          <w:color w:val="2E74B5" w:themeColor="accent1" w:themeShade="BF"/>
        </w:rPr>
      </w:pPr>
      <w:r w:rsidRPr="00AD7D91">
        <w:rPr>
          <w:rFonts w:cs="Calibri"/>
          <w:b/>
          <w:color w:val="2E74B5" w:themeColor="accent1" w:themeShade="BF"/>
        </w:rPr>
        <w:t>a)</w:t>
      </w:r>
      <w:r w:rsidRPr="00AD7D91">
        <w:rPr>
          <w:rFonts w:cs="Calibri"/>
          <w:color w:val="2E74B5" w:themeColor="accent1" w:themeShade="BF"/>
        </w:rPr>
        <w:t xml:space="preserve"> Objeto social.</w:t>
      </w:r>
    </w:p>
    <w:p w14:paraId="47EE1510" w14:textId="15D80FC4" w:rsidR="00137BB4" w:rsidRPr="00137BB4" w:rsidRDefault="00137BB4" w:rsidP="00137BB4">
      <w:pPr>
        <w:numPr>
          <w:ilvl w:val="0"/>
          <w:numId w:val="2"/>
        </w:numPr>
        <w:tabs>
          <w:tab w:val="left" w:pos="1276"/>
        </w:tabs>
        <w:spacing w:before="120" w:after="0" w:line="240" w:lineRule="auto"/>
        <w:ind w:left="1276" w:hanging="567"/>
        <w:jc w:val="both"/>
        <w:rPr>
          <w:rFonts w:ascii="Arial" w:hAnsi="Arial" w:cs="Arial"/>
          <w:i/>
          <w:sz w:val="20"/>
          <w:szCs w:val="20"/>
        </w:rPr>
      </w:pPr>
      <w:r w:rsidRPr="00137BB4">
        <w:rPr>
          <w:rFonts w:ascii="Arial" w:hAnsi="Arial" w:cs="Arial"/>
          <w:i/>
          <w:sz w:val="20"/>
          <w:szCs w:val="20"/>
        </w:rPr>
        <w:t xml:space="preserve">Administrar y proporcionar los servicios de agua potable, la detección, extracción, conducción y potabilización del agua, la planeación, construcción, mantenimiento, rehabilitación y ampliación de las redes y del equipo necesario para el suministro </w:t>
      </w:r>
      <w:r>
        <w:rPr>
          <w:rFonts w:ascii="Arial" w:hAnsi="Arial" w:cs="Arial"/>
          <w:i/>
          <w:sz w:val="20"/>
          <w:szCs w:val="20"/>
        </w:rPr>
        <w:t>de este servicio, y del drenaje.</w:t>
      </w:r>
    </w:p>
    <w:p w14:paraId="1DCC9497" w14:textId="2D0588BF" w:rsidR="00137BB4" w:rsidRPr="00137BB4" w:rsidRDefault="00137BB4" w:rsidP="00137BB4">
      <w:pPr>
        <w:numPr>
          <w:ilvl w:val="0"/>
          <w:numId w:val="2"/>
        </w:numPr>
        <w:tabs>
          <w:tab w:val="left" w:pos="1276"/>
        </w:tabs>
        <w:spacing w:before="120" w:after="0" w:line="240" w:lineRule="auto"/>
        <w:ind w:left="1276" w:hanging="567"/>
        <w:jc w:val="both"/>
        <w:rPr>
          <w:rFonts w:ascii="Arial" w:hAnsi="Arial" w:cs="Arial"/>
          <w:i/>
          <w:sz w:val="20"/>
          <w:szCs w:val="20"/>
        </w:rPr>
      </w:pPr>
      <w:r w:rsidRPr="00137BB4">
        <w:rPr>
          <w:rFonts w:ascii="Arial" w:hAnsi="Arial" w:cs="Arial"/>
          <w:i/>
          <w:sz w:val="20"/>
          <w:szCs w:val="20"/>
        </w:rPr>
        <w:t>Prevenir y controlar la contaminación de las aguas que se descargan en los sistemas de drenaje y a los alcantarillados, de igual forma el tratamiento, disposición y comercialización de las aguas y lodos residuales, dentro de los límites territoriales del Municipio que se encuentra dentro de la cabecera municipal de Romita, Guanajuato, así</w:t>
      </w:r>
      <w:r>
        <w:rPr>
          <w:rFonts w:ascii="Arial" w:hAnsi="Arial" w:cs="Arial"/>
          <w:i/>
          <w:sz w:val="20"/>
          <w:szCs w:val="20"/>
        </w:rPr>
        <w:t xml:space="preserve"> como las Comunidades adheridas.</w:t>
      </w:r>
      <w:r w:rsidRPr="00137BB4">
        <w:rPr>
          <w:rFonts w:ascii="Arial" w:hAnsi="Arial" w:cs="Arial"/>
          <w:i/>
          <w:sz w:val="20"/>
          <w:szCs w:val="20"/>
        </w:rPr>
        <w:t xml:space="preserve"> </w:t>
      </w:r>
    </w:p>
    <w:p w14:paraId="15502CBF" w14:textId="7C1A219D" w:rsidR="00137BB4" w:rsidRPr="00137BB4" w:rsidRDefault="00137BB4" w:rsidP="00137BB4">
      <w:pPr>
        <w:numPr>
          <w:ilvl w:val="0"/>
          <w:numId w:val="2"/>
        </w:numPr>
        <w:tabs>
          <w:tab w:val="left" w:pos="1276"/>
        </w:tabs>
        <w:spacing w:before="120" w:after="0" w:line="240" w:lineRule="auto"/>
        <w:ind w:left="1276" w:hanging="567"/>
        <w:jc w:val="both"/>
        <w:rPr>
          <w:rFonts w:ascii="Arial" w:hAnsi="Arial" w:cs="Arial"/>
          <w:i/>
          <w:sz w:val="20"/>
          <w:szCs w:val="20"/>
        </w:rPr>
      </w:pPr>
      <w:r w:rsidRPr="00137BB4">
        <w:rPr>
          <w:rFonts w:ascii="Arial" w:hAnsi="Arial" w:cs="Arial"/>
          <w:i/>
          <w:sz w:val="20"/>
          <w:szCs w:val="20"/>
        </w:rPr>
        <w:t xml:space="preserve">Planear, estudiar, proyectar, construir, rehabilitar, ampliar, operar, mantener y conservar la infraestructura de agua potable, alcantarillado, saneamiento, tratamiento, disposición y </w:t>
      </w:r>
      <w:proofErr w:type="spellStart"/>
      <w:r w:rsidRPr="00137BB4">
        <w:rPr>
          <w:rFonts w:ascii="Arial" w:hAnsi="Arial" w:cs="Arial"/>
          <w:i/>
          <w:sz w:val="20"/>
          <w:szCs w:val="20"/>
        </w:rPr>
        <w:t>reuso</w:t>
      </w:r>
      <w:proofErr w:type="spellEnd"/>
      <w:r w:rsidRPr="00137BB4">
        <w:rPr>
          <w:rFonts w:ascii="Arial" w:hAnsi="Arial" w:cs="Arial"/>
          <w:i/>
          <w:sz w:val="20"/>
          <w:szCs w:val="20"/>
        </w:rPr>
        <w:t xml:space="preserve"> de aguas y lodos residuale</w:t>
      </w:r>
      <w:r>
        <w:rPr>
          <w:rFonts w:ascii="Arial" w:hAnsi="Arial" w:cs="Arial"/>
          <w:i/>
          <w:sz w:val="20"/>
          <w:szCs w:val="20"/>
        </w:rPr>
        <w:t>s, así como su comercialización.</w:t>
      </w:r>
    </w:p>
    <w:p w14:paraId="43C65E00" w14:textId="7C1A219D" w:rsidR="007D1E76" w:rsidRPr="00137BB4" w:rsidRDefault="00137BB4" w:rsidP="00137BB4">
      <w:pPr>
        <w:spacing w:after="0" w:line="240" w:lineRule="auto"/>
        <w:jc w:val="both"/>
        <w:rPr>
          <w:rFonts w:ascii="Arial" w:hAnsi="Arial" w:cs="Arial"/>
          <w:i/>
          <w:sz w:val="20"/>
          <w:szCs w:val="20"/>
        </w:rPr>
      </w:pPr>
      <w:r w:rsidRPr="00137BB4">
        <w:rPr>
          <w:rFonts w:ascii="Arial" w:hAnsi="Arial" w:cs="Arial"/>
          <w:i/>
          <w:sz w:val="20"/>
          <w:szCs w:val="20"/>
        </w:rPr>
        <w:t xml:space="preserve">             IV.     Ejecutar las obras necesarias, por si o a través de terceros, para la prestación de los servicios</w:t>
      </w:r>
      <w:r>
        <w:rPr>
          <w:rFonts w:ascii="Arial" w:hAnsi="Arial" w:cs="Arial"/>
          <w:i/>
          <w:sz w:val="20"/>
          <w:szCs w:val="20"/>
        </w:rPr>
        <w:t>.</w:t>
      </w:r>
    </w:p>
    <w:p w14:paraId="3567D16E" w14:textId="77777777" w:rsidR="00137BB4" w:rsidRPr="00137BB4" w:rsidRDefault="00137BB4" w:rsidP="00137BB4">
      <w:pPr>
        <w:spacing w:after="0" w:line="240" w:lineRule="auto"/>
        <w:jc w:val="both"/>
        <w:rPr>
          <w:rFonts w:ascii="Arial" w:hAnsi="Arial" w:cs="Arial"/>
          <w:sz w:val="20"/>
          <w:szCs w:val="20"/>
        </w:rPr>
      </w:pPr>
    </w:p>
    <w:p w14:paraId="2C110A08" w14:textId="77777777" w:rsidR="007D1E76" w:rsidRPr="00AD7D91" w:rsidRDefault="007D1E76" w:rsidP="00137BB4">
      <w:pPr>
        <w:spacing w:after="0" w:line="240" w:lineRule="auto"/>
        <w:jc w:val="both"/>
        <w:rPr>
          <w:rFonts w:cs="Calibri"/>
          <w:color w:val="2E74B5" w:themeColor="accent1" w:themeShade="BF"/>
        </w:rPr>
      </w:pPr>
      <w:r w:rsidRPr="00AD7D91">
        <w:rPr>
          <w:rFonts w:cs="Calibri"/>
          <w:b/>
          <w:color w:val="2E74B5" w:themeColor="accent1" w:themeShade="BF"/>
        </w:rPr>
        <w:t>b)</w:t>
      </w:r>
      <w:r w:rsidRPr="00AD7D91">
        <w:rPr>
          <w:rFonts w:cs="Calibri"/>
          <w:color w:val="2E74B5" w:themeColor="accent1" w:themeShade="BF"/>
        </w:rPr>
        <w:t xml:space="preserve"> Principal actividad.</w:t>
      </w:r>
    </w:p>
    <w:p w14:paraId="0FB1C8FD" w14:textId="77777777" w:rsidR="00137BB4" w:rsidRPr="00137BB4" w:rsidRDefault="00137BB4" w:rsidP="00137BB4">
      <w:pPr>
        <w:tabs>
          <w:tab w:val="left" w:pos="1276"/>
        </w:tabs>
        <w:spacing w:before="120" w:after="0" w:line="240" w:lineRule="auto"/>
        <w:jc w:val="both"/>
        <w:rPr>
          <w:rFonts w:ascii="Arial" w:hAnsi="Arial" w:cs="Arial"/>
          <w:i/>
          <w:sz w:val="20"/>
          <w:szCs w:val="20"/>
        </w:rPr>
      </w:pPr>
      <w:r w:rsidRPr="00137BB4">
        <w:rPr>
          <w:rFonts w:ascii="Arial" w:hAnsi="Arial" w:cs="Arial"/>
          <w:i/>
          <w:sz w:val="20"/>
          <w:szCs w:val="20"/>
        </w:rPr>
        <w:t xml:space="preserve">Planear, estudiar, proyectar, construir, rehabilitar, ampliar, operar, mantener y conservar la infraestructura de agua potable, alcantarillado, saneamiento, tratamiento, disposición y </w:t>
      </w:r>
      <w:proofErr w:type="spellStart"/>
      <w:r w:rsidRPr="00137BB4">
        <w:rPr>
          <w:rFonts w:ascii="Arial" w:hAnsi="Arial" w:cs="Arial"/>
          <w:i/>
          <w:sz w:val="20"/>
          <w:szCs w:val="20"/>
        </w:rPr>
        <w:t>reuso</w:t>
      </w:r>
      <w:proofErr w:type="spellEnd"/>
      <w:r w:rsidRPr="00137BB4">
        <w:rPr>
          <w:rFonts w:ascii="Arial" w:hAnsi="Arial" w:cs="Arial"/>
          <w:i/>
          <w:sz w:val="20"/>
          <w:szCs w:val="20"/>
        </w:rPr>
        <w:t xml:space="preserve"> de aguas y lodos residuale</w:t>
      </w:r>
      <w:r>
        <w:rPr>
          <w:rFonts w:ascii="Arial" w:hAnsi="Arial" w:cs="Arial"/>
          <w:i/>
          <w:sz w:val="20"/>
          <w:szCs w:val="20"/>
        </w:rPr>
        <w:t>s, así como su comercialización.</w:t>
      </w:r>
    </w:p>
    <w:p w14:paraId="0BBDA1A0" w14:textId="77777777" w:rsidR="00137BB4" w:rsidRPr="00E74967" w:rsidRDefault="00137BB4" w:rsidP="00137BB4">
      <w:pPr>
        <w:spacing w:after="0" w:line="240" w:lineRule="auto"/>
        <w:jc w:val="both"/>
        <w:rPr>
          <w:rFonts w:cs="Calibri"/>
        </w:rPr>
      </w:pPr>
    </w:p>
    <w:p w14:paraId="2D21CE61" w14:textId="77777777" w:rsidR="007D1E76" w:rsidRPr="00AD7D91" w:rsidRDefault="007D1E76" w:rsidP="007D1E76">
      <w:pPr>
        <w:spacing w:after="0" w:line="240" w:lineRule="auto"/>
        <w:jc w:val="both"/>
        <w:rPr>
          <w:rFonts w:cs="Calibri"/>
          <w:color w:val="2E74B5" w:themeColor="accent1" w:themeShade="BF"/>
        </w:rPr>
      </w:pPr>
      <w:r w:rsidRPr="00AD7D91">
        <w:rPr>
          <w:rFonts w:cs="Calibri"/>
          <w:b/>
          <w:color w:val="2E74B5" w:themeColor="accent1" w:themeShade="BF"/>
        </w:rPr>
        <w:t>c)</w:t>
      </w:r>
      <w:r w:rsidRPr="00AD7D91">
        <w:rPr>
          <w:rFonts w:cs="Calibri"/>
          <w:color w:val="2E74B5" w:themeColor="accent1" w:themeShade="BF"/>
        </w:rPr>
        <w:t xml:space="preserve"> Ejercicio fiscal (mencionar por ejemplo: enero a diciembre de 201</w:t>
      </w:r>
      <w:r w:rsidR="00657009" w:rsidRPr="00AD7D91">
        <w:rPr>
          <w:rFonts w:cs="Calibri"/>
          <w:color w:val="2E74B5" w:themeColor="accent1" w:themeShade="BF"/>
        </w:rPr>
        <w:t>5</w:t>
      </w:r>
      <w:r w:rsidRPr="00AD7D91">
        <w:rPr>
          <w:rFonts w:cs="Calibri"/>
          <w:color w:val="2E74B5" w:themeColor="accent1" w:themeShade="BF"/>
        </w:rPr>
        <w:t>).</w:t>
      </w:r>
    </w:p>
    <w:p w14:paraId="465F3FD8" w14:textId="77777777" w:rsidR="00137BB4" w:rsidRPr="00AD7D91" w:rsidRDefault="00137BB4" w:rsidP="007D1E76">
      <w:pPr>
        <w:spacing w:after="0" w:line="240" w:lineRule="auto"/>
        <w:jc w:val="both"/>
        <w:rPr>
          <w:rFonts w:cs="Calibri"/>
          <w:color w:val="2E74B5" w:themeColor="accent1" w:themeShade="BF"/>
        </w:rPr>
      </w:pPr>
    </w:p>
    <w:p w14:paraId="04F7186A" w14:textId="1766307F" w:rsidR="007D1E76" w:rsidRPr="00137BB4" w:rsidRDefault="00137BB4" w:rsidP="007D1E76">
      <w:pPr>
        <w:spacing w:after="0" w:line="240" w:lineRule="auto"/>
        <w:jc w:val="both"/>
        <w:rPr>
          <w:rFonts w:ascii="Arial" w:hAnsi="Arial" w:cs="Arial"/>
          <w:i/>
          <w:sz w:val="20"/>
          <w:szCs w:val="20"/>
        </w:rPr>
      </w:pPr>
      <w:r w:rsidRPr="00137BB4">
        <w:rPr>
          <w:rFonts w:ascii="Arial" w:hAnsi="Arial" w:cs="Arial"/>
          <w:i/>
          <w:sz w:val="20"/>
          <w:szCs w:val="20"/>
        </w:rPr>
        <w:t>Enero a Diciembre de 2017</w:t>
      </w:r>
    </w:p>
    <w:p w14:paraId="16703E54" w14:textId="77777777" w:rsidR="007D1E76" w:rsidRPr="00E74967" w:rsidRDefault="007D1E76" w:rsidP="007D1E76">
      <w:pPr>
        <w:spacing w:after="0" w:line="240" w:lineRule="auto"/>
        <w:jc w:val="both"/>
        <w:rPr>
          <w:rFonts w:cs="Calibri"/>
        </w:rPr>
      </w:pPr>
    </w:p>
    <w:p w14:paraId="6B13C93F" w14:textId="77777777" w:rsidR="007D1E76" w:rsidRPr="00E74967" w:rsidRDefault="007D1E76" w:rsidP="007D1E76">
      <w:pPr>
        <w:spacing w:after="0" w:line="240" w:lineRule="auto"/>
        <w:jc w:val="both"/>
        <w:rPr>
          <w:rFonts w:cs="Calibri"/>
        </w:rPr>
      </w:pPr>
      <w:r w:rsidRPr="00AD7D91">
        <w:rPr>
          <w:rFonts w:cs="Calibri"/>
          <w:b/>
          <w:color w:val="2E74B5" w:themeColor="accent1" w:themeShade="BF"/>
        </w:rPr>
        <w:t>d)</w:t>
      </w:r>
      <w:r w:rsidRPr="00AD7D91">
        <w:rPr>
          <w:rFonts w:cs="Calibri"/>
          <w:color w:val="2E74B5" w:themeColor="accent1" w:themeShade="BF"/>
        </w:rPr>
        <w:t xml:space="preserve"> Régimen jurídico (Forma como está dada de alta la entidad ante la S.H.C.P., ejemplos: S.C., S.A., Personas morales sin fines de lucro, etc.).</w:t>
      </w:r>
    </w:p>
    <w:p w14:paraId="5B410793" w14:textId="77777777" w:rsidR="00137BB4" w:rsidRDefault="00137BB4" w:rsidP="007D1E76">
      <w:pPr>
        <w:spacing w:after="0" w:line="240" w:lineRule="auto"/>
        <w:jc w:val="both"/>
        <w:rPr>
          <w:rFonts w:cs="Calibri"/>
        </w:rPr>
      </w:pPr>
    </w:p>
    <w:p w14:paraId="68B22724" w14:textId="54CA9771" w:rsidR="007D1E76" w:rsidRPr="00137BB4" w:rsidRDefault="00137BB4" w:rsidP="007D1E76">
      <w:pPr>
        <w:spacing w:after="0" w:line="240" w:lineRule="auto"/>
        <w:jc w:val="both"/>
        <w:rPr>
          <w:rFonts w:ascii="Arial" w:hAnsi="Arial" w:cs="Arial"/>
          <w:i/>
          <w:sz w:val="20"/>
          <w:szCs w:val="20"/>
        </w:rPr>
      </w:pPr>
      <w:r w:rsidRPr="00137BB4">
        <w:rPr>
          <w:rFonts w:ascii="Arial" w:hAnsi="Arial" w:cs="Arial"/>
          <w:i/>
          <w:sz w:val="20"/>
          <w:szCs w:val="20"/>
        </w:rPr>
        <w:t xml:space="preserve">Personas </w:t>
      </w:r>
      <w:r>
        <w:rPr>
          <w:rFonts w:ascii="Arial" w:hAnsi="Arial" w:cs="Arial"/>
          <w:i/>
          <w:sz w:val="20"/>
          <w:szCs w:val="20"/>
        </w:rPr>
        <w:t>M</w:t>
      </w:r>
      <w:r w:rsidRPr="00137BB4">
        <w:rPr>
          <w:rFonts w:ascii="Arial" w:hAnsi="Arial" w:cs="Arial"/>
          <w:i/>
          <w:sz w:val="20"/>
          <w:szCs w:val="20"/>
        </w:rPr>
        <w:t xml:space="preserve">orales </w:t>
      </w:r>
      <w:r>
        <w:rPr>
          <w:rFonts w:ascii="Arial" w:hAnsi="Arial" w:cs="Arial"/>
          <w:i/>
          <w:sz w:val="20"/>
          <w:szCs w:val="20"/>
        </w:rPr>
        <w:t>con</w:t>
      </w:r>
      <w:r w:rsidRPr="00137BB4">
        <w:rPr>
          <w:rFonts w:ascii="Arial" w:hAnsi="Arial" w:cs="Arial"/>
          <w:i/>
          <w:sz w:val="20"/>
          <w:szCs w:val="20"/>
        </w:rPr>
        <w:t xml:space="preserve"> </w:t>
      </w:r>
      <w:r>
        <w:rPr>
          <w:rFonts w:ascii="Arial" w:hAnsi="Arial" w:cs="Arial"/>
          <w:i/>
          <w:sz w:val="20"/>
          <w:szCs w:val="20"/>
        </w:rPr>
        <w:t>F</w:t>
      </w:r>
      <w:r w:rsidRPr="00137BB4">
        <w:rPr>
          <w:rFonts w:ascii="Arial" w:hAnsi="Arial" w:cs="Arial"/>
          <w:i/>
          <w:sz w:val="20"/>
          <w:szCs w:val="20"/>
        </w:rPr>
        <w:t xml:space="preserve">ines </w:t>
      </w:r>
      <w:r>
        <w:rPr>
          <w:rFonts w:ascii="Arial" w:hAnsi="Arial" w:cs="Arial"/>
          <w:i/>
          <w:sz w:val="20"/>
          <w:szCs w:val="20"/>
        </w:rPr>
        <w:t>no L</w:t>
      </w:r>
      <w:r w:rsidRPr="00137BB4">
        <w:rPr>
          <w:rFonts w:ascii="Arial" w:hAnsi="Arial" w:cs="Arial"/>
          <w:i/>
          <w:sz w:val="20"/>
          <w:szCs w:val="20"/>
        </w:rPr>
        <w:t>ucr</w:t>
      </w:r>
      <w:r>
        <w:rPr>
          <w:rFonts w:ascii="Arial" w:hAnsi="Arial" w:cs="Arial"/>
          <w:i/>
          <w:sz w:val="20"/>
          <w:szCs w:val="20"/>
        </w:rPr>
        <w:t>ativos</w:t>
      </w:r>
      <w:r w:rsidRPr="00137BB4">
        <w:rPr>
          <w:rFonts w:ascii="Arial" w:hAnsi="Arial" w:cs="Arial"/>
          <w:i/>
          <w:sz w:val="20"/>
          <w:szCs w:val="20"/>
        </w:rPr>
        <w:t>.</w:t>
      </w:r>
    </w:p>
    <w:p w14:paraId="68CC80B2" w14:textId="77777777" w:rsidR="00137BB4" w:rsidRDefault="00137BB4" w:rsidP="007D1E76">
      <w:pPr>
        <w:spacing w:after="0" w:line="240" w:lineRule="auto"/>
        <w:jc w:val="both"/>
        <w:rPr>
          <w:rFonts w:cs="Calibri"/>
        </w:rPr>
      </w:pPr>
    </w:p>
    <w:p w14:paraId="15948964" w14:textId="77777777" w:rsidR="007D1E76" w:rsidRPr="00E74967" w:rsidRDefault="007D1E76" w:rsidP="007D1E76">
      <w:pPr>
        <w:spacing w:after="0" w:line="240" w:lineRule="auto"/>
        <w:jc w:val="both"/>
        <w:rPr>
          <w:rFonts w:cs="Calibri"/>
        </w:rPr>
      </w:pPr>
      <w:r w:rsidRPr="00AD7D91">
        <w:rPr>
          <w:rFonts w:cs="Calibri"/>
          <w:b/>
          <w:color w:val="2E74B5" w:themeColor="accent1" w:themeShade="BF"/>
        </w:rPr>
        <w:t>e)</w:t>
      </w:r>
      <w:r w:rsidRPr="00AD7D91">
        <w:rPr>
          <w:rFonts w:cs="Calibri"/>
          <w:color w:val="2E74B5" w:themeColor="accent1" w:themeShade="BF"/>
        </w:rPr>
        <w:t xml:space="preserve"> Consideraciones fiscales del ente: </w:t>
      </w:r>
      <w:r w:rsidR="00657009" w:rsidRPr="00AD7D91">
        <w:rPr>
          <w:rFonts w:cs="Calibri"/>
          <w:color w:val="2E74B5" w:themeColor="accent1" w:themeShade="BF"/>
        </w:rPr>
        <w:t>R</w:t>
      </w:r>
      <w:r w:rsidRPr="00AD7D91">
        <w:rPr>
          <w:rFonts w:cs="Calibri"/>
          <w:color w:val="2E74B5" w:themeColor="accent1" w:themeShade="BF"/>
        </w:rPr>
        <w:t>evelar el tipo de contribuciones que esté obligado a pagar o retener.</w:t>
      </w:r>
    </w:p>
    <w:p w14:paraId="423118DE" w14:textId="77777777" w:rsidR="00AD7D91" w:rsidRDefault="00AD7D91" w:rsidP="007D1E76">
      <w:pPr>
        <w:spacing w:after="0" w:line="240" w:lineRule="auto"/>
        <w:jc w:val="both"/>
        <w:rPr>
          <w:rFonts w:cs="Calibri"/>
          <w:b/>
        </w:rPr>
      </w:pPr>
    </w:p>
    <w:tbl>
      <w:tblPr>
        <w:tblStyle w:val="Tablaconcuadrcula"/>
        <w:tblW w:w="0" w:type="auto"/>
        <w:tblLook w:val="04A0" w:firstRow="1" w:lastRow="0" w:firstColumn="1" w:lastColumn="0" w:noHBand="0" w:noVBand="1"/>
      </w:tblPr>
      <w:tblGrid>
        <w:gridCol w:w="4914"/>
        <w:gridCol w:w="4914"/>
      </w:tblGrid>
      <w:tr w:rsidR="00AD7D91" w14:paraId="0DE3D6AC" w14:textId="77777777" w:rsidTr="00AD7D91">
        <w:tc>
          <w:tcPr>
            <w:tcW w:w="4914" w:type="dxa"/>
          </w:tcPr>
          <w:p w14:paraId="58C1CBF4" w14:textId="416C4754" w:rsidR="00AD7D91" w:rsidRPr="00AD7D91" w:rsidRDefault="00AD7D91" w:rsidP="00AD7D91">
            <w:pPr>
              <w:spacing w:after="0" w:line="240" w:lineRule="auto"/>
              <w:jc w:val="center"/>
              <w:rPr>
                <w:rFonts w:ascii="Arial" w:hAnsi="Arial" w:cs="Arial"/>
                <w:b/>
                <w:sz w:val="16"/>
                <w:szCs w:val="16"/>
              </w:rPr>
            </w:pPr>
            <w:r w:rsidRPr="00AD7D91">
              <w:rPr>
                <w:rFonts w:ascii="Arial" w:hAnsi="Arial" w:cs="Arial"/>
                <w:b/>
                <w:sz w:val="16"/>
                <w:szCs w:val="16"/>
              </w:rPr>
              <w:t>Descripción de la Obligación</w:t>
            </w:r>
          </w:p>
        </w:tc>
        <w:tc>
          <w:tcPr>
            <w:tcW w:w="4914" w:type="dxa"/>
          </w:tcPr>
          <w:p w14:paraId="1DBA4488" w14:textId="00B113EF" w:rsidR="00AD7D91" w:rsidRPr="00AD7D91" w:rsidRDefault="00AD7D91" w:rsidP="00AD7D91">
            <w:pPr>
              <w:spacing w:after="0" w:line="240" w:lineRule="auto"/>
              <w:jc w:val="center"/>
              <w:rPr>
                <w:rFonts w:ascii="Arial" w:hAnsi="Arial" w:cs="Arial"/>
                <w:b/>
                <w:sz w:val="16"/>
                <w:szCs w:val="16"/>
              </w:rPr>
            </w:pPr>
            <w:r w:rsidRPr="00AD7D91">
              <w:rPr>
                <w:rFonts w:ascii="Arial" w:hAnsi="Arial" w:cs="Arial"/>
                <w:b/>
                <w:sz w:val="16"/>
                <w:szCs w:val="16"/>
              </w:rPr>
              <w:t>Descripción Vencimiento</w:t>
            </w:r>
          </w:p>
        </w:tc>
      </w:tr>
      <w:tr w:rsidR="00AD7D91" w14:paraId="19B05D67" w14:textId="77777777" w:rsidTr="00AD7D91">
        <w:tc>
          <w:tcPr>
            <w:tcW w:w="4914" w:type="dxa"/>
          </w:tcPr>
          <w:p w14:paraId="78AF3FF9" w14:textId="0308BC05" w:rsidR="00AD7D91" w:rsidRPr="00AD7D91" w:rsidRDefault="00AD7D91" w:rsidP="007D1E76">
            <w:pPr>
              <w:spacing w:after="0" w:line="240" w:lineRule="auto"/>
              <w:jc w:val="both"/>
              <w:rPr>
                <w:rFonts w:ascii="Arial" w:hAnsi="Arial" w:cs="Arial"/>
                <w:sz w:val="16"/>
                <w:szCs w:val="16"/>
              </w:rPr>
            </w:pPr>
            <w:r w:rsidRPr="00AD7D91">
              <w:rPr>
                <w:rFonts w:ascii="Arial" w:hAnsi="Arial" w:cs="Arial"/>
                <w:sz w:val="16"/>
                <w:szCs w:val="16"/>
              </w:rPr>
              <w:t>Entero de retenciones mensuales de ISR por sueldos y salarios</w:t>
            </w:r>
          </w:p>
        </w:tc>
        <w:tc>
          <w:tcPr>
            <w:tcW w:w="4914" w:type="dxa"/>
          </w:tcPr>
          <w:p w14:paraId="76363C33" w14:textId="52254A74"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A más tardar el día 17 del mes inmediato posterior al periodo que corresponda</w:t>
            </w:r>
          </w:p>
        </w:tc>
      </w:tr>
      <w:tr w:rsidR="00AD7D91" w14:paraId="78301CD4" w14:textId="77777777" w:rsidTr="00AD7D91">
        <w:tc>
          <w:tcPr>
            <w:tcW w:w="4914" w:type="dxa"/>
          </w:tcPr>
          <w:p w14:paraId="1DFBE90D" w14:textId="301C5958"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Declaración informativa de IVA con la anual de ISR</w:t>
            </w:r>
          </w:p>
        </w:tc>
        <w:tc>
          <w:tcPr>
            <w:tcW w:w="4914" w:type="dxa"/>
          </w:tcPr>
          <w:p w14:paraId="642846C7" w14:textId="6BE83D21"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Conjuntamente con la declaración anual del ejercicio</w:t>
            </w:r>
          </w:p>
        </w:tc>
      </w:tr>
      <w:tr w:rsidR="00AD7D91" w14:paraId="5C499590" w14:textId="77777777" w:rsidTr="00AD7D91">
        <w:tc>
          <w:tcPr>
            <w:tcW w:w="4914" w:type="dxa"/>
          </w:tcPr>
          <w:p w14:paraId="68CED75E" w14:textId="10442FD4"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Declaración informativa anual de retenciones de ISR por sueldos y salarios e ingresos asimilados a salarios</w:t>
            </w:r>
          </w:p>
        </w:tc>
        <w:tc>
          <w:tcPr>
            <w:tcW w:w="4914" w:type="dxa"/>
          </w:tcPr>
          <w:p w14:paraId="62290FA2" w14:textId="44CE4A5B"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A más tardar el 15 de febrero del año siguiente</w:t>
            </w:r>
          </w:p>
        </w:tc>
      </w:tr>
      <w:tr w:rsidR="00AD7D91" w14:paraId="78563B20" w14:textId="77777777" w:rsidTr="00AD7D91">
        <w:tc>
          <w:tcPr>
            <w:tcW w:w="4914" w:type="dxa"/>
          </w:tcPr>
          <w:p w14:paraId="0DFB9BBE" w14:textId="690483EB"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Entero de retención de ISR por servicios profesionales. MENSUAL</w:t>
            </w:r>
          </w:p>
        </w:tc>
        <w:tc>
          <w:tcPr>
            <w:tcW w:w="4914" w:type="dxa"/>
          </w:tcPr>
          <w:p w14:paraId="0892871E" w14:textId="2D07DC94"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A más tardar el día 17 del mes inmediato posterior al periodo que corresponda</w:t>
            </w:r>
          </w:p>
        </w:tc>
      </w:tr>
      <w:tr w:rsidR="00AD7D91" w14:paraId="42FE0864" w14:textId="77777777" w:rsidTr="00AD7D91">
        <w:tc>
          <w:tcPr>
            <w:tcW w:w="4914" w:type="dxa"/>
          </w:tcPr>
          <w:p w14:paraId="1F27216E" w14:textId="79EED1AE"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lastRenderedPageBreak/>
              <w:t>Declaración informativa anual de pagos y retenciones de servicios profesionales. Personas</w:t>
            </w:r>
            <w:r w:rsidR="00FA5B86">
              <w:rPr>
                <w:rFonts w:ascii="Arial" w:hAnsi="Arial" w:cs="Arial"/>
                <w:sz w:val="16"/>
                <w:szCs w:val="16"/>
              </w:rPr>
              <w:t xml:space="preserve"> Morales. Impuesto Sobre la Renta</w:t>
            </w:r>
          </w:p>
        </w:tc>
        <w:tc>
          <w:tcPr>
            <w:tcW w:w="4914" w:type="dxa"/>
          </w:tcPr>
          <w:p w14:paraId="3B3A3488" w14:textId="407F9939"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A más tardar el 15 de Febrero del año siguiente</w:t>
            </w:r>
          </w:p>
        </w:tc>
      </w:tr>
      <w:tr w:rsidR="00AD7D91" w14:paraId="748E81FC" w14:textId="77777777" w:rsidTr="00AD7D91">
        <w:tc>
          <w:tcPr>
            <w:tcW w:w="4914" w:type="dxa"/>
          </w:tcPr>
          <w:p w14:paraId="2694CD01" w14:textId="1EE8D5C4"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Declaración informativa mensual de operaciones con terceros de IVA</w:t>
            </w:r>
          </w:p>
        </w:tc>
        <w:tc>
          <w:tcPr>
            <w:tcW w:w="4914" w:type="dxa"/>
          </w:tcPr>
          <w:p w14:paraId="35896FB0" w14:textId="357D8687"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A más tardar el último día del mes inmediato posterior al periodo que corresponda</w:t>
            </w:r>
          </w:p>
        </w:tc>
      </w:tr>
      <w:tr w:rsidR="00AD7D91" w14:paraId="7C095649" w14:textId="77777777" w:rsidTr="00AD7D91">
        <w:tc>
          <w:tcPr>
            <w:tcW w:w="4914" w:type="dxa"/>
          </w:tcPr>
          <w:p w14:paraId="1A1D9297" w14:textId="2B9EAAC2"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Informativa anual del subsidio para el empleo</w:t>
            </w:r>
          </w:p>
        </w:tc>
        <w:tc>
          <w:tcPr>
            <w:tcW w:w="4914" w:type="dxa"/>
          </w:tcPr>
          <w:p w14:paraId="7B8D6FDC" w14:textId="67693986"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A más tardar el 15 de febrero de cada año</w:t>
            </w:r>
          </w:p>
        </w:tc>
      </w:tr>
      <w:tr w:rsidR="00AD7D91" w14:paraId="5BDA414E" w14:textId="77777777" w:rsidTr="00AD7D91">
        <w:tc>
          <w:tcPr>
            <w:tcW w:w="4914" w:type="dxa"/>
          </w:tcPr>
          <w:p w14:paraId="0D402908" w14:textId="4AD0B8B9"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Pago definitivo mensual de IVA</w:t>
            </w:r>
          </w:p>
        </w:tc>
        <w:tc>
          <w:tcPr>
            <w:tcW w:w="4914" w:type="dxa"/>
          </w:tcPr>
          <w:p w14:paraId="7172CAC8" w14:textId="78BEA32F"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A más tardar el día 17 del mes inmediato posterior al periodo que corresponda</w:t>
            </w:r>
          </w:p>
        </w:tc>
      </w:tr>
    </w:tbl>
    <w:p w14:paraId="7093C57A" w14:textId="77777777" w:rsidR="00AD7D91" w:rsidRDefault="00AD7D91" w:rsidP="007D1E76">
      <w:pPr>
        <w:spacing w:after="0" w:line="240" w:lineRule="auto"/>
        <w:jc w:val="both"/>
        <w:rPr>
          <w:rFonts w:cs="Calibri"/>
          <w:b/>
        </w:rPr>
      </w:pPr>
    </w:p>
    <w:p w14:paraId="700BC870" w14:textId="77777777" w:rsidR="00AD7D91" w:rsidRDefault="00AD7D91" w:rsidP="007D1E76">
      <w:pPr>
        <w:spacing w:after="0" w:line="240" w:lineRule="auto"/>
        <w:jc w:val="both"/>
        <w:rPr>
          <w:rFonts w:cs="Calibri"/>
          <w:b/>
        </w:rPr>
      </w:pPr>
    </w:p>
    <w:p w14:paraId="6EB77A6D" w14:textId="77777777" w:rsidR="007D1E76" w:rsidRPr="00FA5B86" w:rsidRDefault="007D1E76" w:rsidP="007D1E76">
      <w:pPr>
        <w:spacing w:after="0" w:line="240" w:lineRule="auto"/>
        <w:jc w:val="both"/>
        <w:rPr>
          <w:rFonts w:cs="Calibri"/>
          <w:color w:val="2E74B5" w:themeColor="accent1" w:themeShade="BF"/>
        </w:rPr>
      </w:pPr>
      <w:r w:rsidRPr="00FA5B86">
        <w:rPr>
          <w:rFonts w:cs="Calibri"/>
          <w:b/>
          <w:color w:val="2E74B5" w:themeColor="accent1" w:themeShade="BF"/>
        </w:rPr>
        <w:t>f)</w:t>
      </w:r>
      <w:r w:rsidRPr="00FA5B86">
        <w:rPr>
          <w:rFonts w:cs="Calibri"/>
          <w:color w:val="2E74B5" w:themeColor="accent1" w:themeShade="BF"/>
        </w:rPr>
        <w:t xml:space="preserve"> Estructura organizacional básica.</w:t>
      </w:r>
    </w:p>
    <w:p w14:paraId="44873517" w14:textId="77777777" w:rsidR="00FA5B86" w:rsidRDefault="00FA5B86" w:rsidP="007D1E76">
      <w:pPr>
        <w:spacing w:after="0" w:line="240" w:lineRule="auto"/>
        <w:ind w:firstLine="708"/>
        <w:jc w:val="both"/>
        <w:rPr>
          <w:rFonts w:cs="Calibri"/>
        </w:rPr>
      </w:pPr>
    </w:p>
    <w:p w14:paraId="3450C629" w14:textId="03160546" w:rsidR="007D1E76" w:rsidRDefault="00FA5B86" w:rsidP="007D1E76">
      <w:pPr>
        <w:spacing w:after="0" w:line="240" w:lineRule="auto"/>
        <w:jc w:val="both"/>
        <w:rPr>
          <w:rFonts w:cs="Calibri"/>
        </w:rPr>
      </w:pPr>
      <w:r>
        <w:rPr>
          <w:rFonts w:cs="Calibri"/>
          <w:noProof/>
          <w:lang w:eastAsia="es-MX"/>
        </w:rPr>
        <w:drawing>
          <wp:inline distT="0" distB="0" distL="0" distR="0" wp14:anchorId="1603E43F" wp14:editId="22C1BBDD">
            <wp:extent cx="6151880" cy="3896320"/>
            <wp:effectExtent l="0" t="0" r="1270" b="9525"/>
            <wp:docPr id="1" name="Imagen 1" descr="S:\UNIDA DE ACCESO A LA INFORMACION 2016 Y 2017\organigrama sapar  2016-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IDA DE ACCESO A LA INFORMACION 2016 Y 2017\organigrama sapar  2016-2018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3896320"/>
                    </a:xfrm>
                    <a:prstGeom prst="rect">
                      <a:avLst/>
                    </a:prstGeom>
                    <a:noFill/>
                    <a:ln>
                      <a:noFill/>
                    </a:ln>
                  </pic:spPr>
                </pic:pic>
              </a:graphicData>
            </a:graphic>
          </wp:inline>
        </w:drawing>
      </w:r>
    </w:p>
    <w:p w14:paraId="120C864E" w14:textId="77777777" w:rsidR="00FA5B86" w:rsidRPr="00E74967" w:rsidRDefault="00FA5B86" w:rsidP="007D1E76">
      <w:pPr>
        <w:spacing w:after="0" w:line="240" w:lineRule="auto"/>
        <w:jc w:val="both"/>
        <w:rPr>
          <w:rFonts w:cs="Calibri"/>
        </w:rPr>
      </w:pPr>
    </w:p>
    <w:p w14:paraId="19CEE146" w14:textId="77777777" w:rsidR="007D1E76" w:rsidRPr="00E74967" w:rsidRDefault="007D1E76" w:rsidP="007D1E76">
      <w:pPr>
        <w:spacing w:after="0" w:line="240" w:lineRule="auto"/>
        <w:jc w:val="both"/>
        <w:rPr>
          <w:rFonts w:cs="Calibri"/>
        </w:rPr>
      </w:pPr>
      <w:r w:rsidRPr="00FA5B86">
        <w:rPr>
          <w:rFonts w:cs="Calibri"/>
          <w:b/>
          <w:color w:val="2E74B5" w:themeColor="accent1" w:themeShade="BF"/>
        </w:rPr>
        <w:t>g)</w:t>
      </w:r>
      <w:r w:rsidRPr="00FA5B86">
        <w:rPr>
          <w:rFonts w:cs="Calibri"/>
          <w:color w:val="2E74B5" w:themeColor="accent1" w:themeShade="BF"/>
        </w:rPr>
        <w:t xml:space="preserve"> Fideicomisos, mandatos y análogos de los cuales es fideicomitente o </w:t>
      </w:r>
      <w:r w:rsidR="00657009" w:rsidRPr="00FA5B86">
        <w:rPr>
          <w:rFonts w:cs="Calibri"/>
          <w:color w:val="2E74B5" w:themeColor="accent1" w:themeShade="BF"/>
        </w:rPr>
        <w:t>fideicomisario</w:t>
      </w:r>
      <w:r w:rsidRPr="00E74967">
        <w:rPr>
          <w:rFonts w:cs="Calibri"/>
        </w:rPr>
        <w:t>.</w:t>
      </w:r>
    </w:p>
    <w:p w14:paraId="4241EF36" w14:textId="77777777" w:rsidR="007D1E76" w:rsidRDefault="007D1E76" w:rsidP="007D1E76">
      <w:pPr>
        <w:spacing w:after="0" w:line="240" w:lineRule="auto"/>
        <w:jc w:val="both"/>
        <w:rPr>
          <w:rFonts w:cs="Calibri"/>
        </w:rPr>
      </w:pPr>
    </w:p>
    <w:p w14:paraId="7D50D909" w14:textId="7C2FE3AB" w:rsidR="00FA5B86" w:rsidRPr="00FA5B86" w:rsidRDefault="00FA5B86" w:rsidP="007D1E76">
      <w:pPr>
        <w:spacing w:after="0" w:line="240" w:lineRule="auto"/>
        <w:jc w:val="both"/>
        <w:rPr>
          <w:rFonts w:ascii="Arial" w:hAnsi="Arial" w:cs="Arial"/>
          <w:i/>
          <w:sz w:val="20"/>
          <w:szCs w:val="20"/>
        </w:rPr>
      </w:pPr>
      <w:r w:rsidRPr="00FA5B86">
        <w:rPr>
          <w:rFonts w:ascii="Arial" w:hAnsi="Arial" w:cs="Arial"/>
          <w:i/>
          <w:sz w:val="20"/>
          <w:szCs w:val="20"/>
        </w:rPr>
        <w:t>“</w:t>
      </w:r>
      <w:r w:rsidR="00E33A6F">
        <w:rPr>
          <w:rFonts w:ascii="Arial" w:hAnsi="Arial" w:cs="Arial"/>
          <w:i/>
          <w:sz w:val="20"/>
          <w:szCs w:val="20"/>
        </w:rPr>
        <w:t xml:space="preserve">Esta </w:t>
      </w:r>
      <w:r w:rsidRPr="00FA5B86">
        <w:rPr>
          <w:rFonts w:ascii="Arial" w:hAnsi="Arial" w:cs="Arial"/>
          <w:i/>
          <w:sz w:val="20"/>
          <w:szCs w:val="20"/>
        </w:rPr>
        <w:t>No</w:t>
      </w:r>
      <w:r w:rsidR="00E33A6F">
        <w:rPr>
          <w:rFonts w:ascii="Arial" w:hAnsi="Arial" w:cs="Arial"/>
          <w:i/>
          <w:sz w:val="20"/>
          <w:szCs w:val="20"/>
        </w:rPr>
        <w:t>ta no le</w:t>
      </w:r>
      <w:r w:rsidRPr="00FA5B86">
        <w:rPr>
          <w:rFonts w:ascii="Arial" w:hAnsi="Arial" w:cs="Arial"/>
          <w:i/>
          <w:sz w:val="20"/>
          <w:szCs w:val="20"/>
        </w:rPr>
        <w:t xml:space="preserve"> Aplica</w:t>
      </w:r>
      <w:r w:rsidR="00E33A6F">
        <w:rPr>
          <w:rFonts w:ascii="Arial" w:hAnsi="Arial" w:cs="Arial"/>
          <w:i/>
          <w:sz w:val="20"/>
          <w:szCs w:val="20"/>
        </w:rPr>
        <w:t xml:space="preserve"> al Ente Público</w:t>
      </w:r>
      <w:r w:rsidRPr="00FA5B86">
        <w:rPr>
          <w:rFonts w:ascii="Arial" w:hAnsi="Arial" w:cs="Arial"/>
          <w:i/>
          <w:sz w:val="20"/>
          <w:szCs w:val="20"/>
        </w:rPr>
        <w:t>”</w:t>
      </w:r>
    </w:p>
    <w:p w14:paraId="7682CC3F" w14:textId="77777777" w:rsidR="007D1E76" w:rsidRPr="00E74967" w:rsidRDefault="007D1E76" w:rsidP="007D1E76">
      <w:pPr>
        <w:spacing w:after="0" w:line="240" w:lineRule="auto"/>
        <w:jc w:val="both"/>
        <w:rPr>
          <w:rFonts w:cs="Calibri"/>
        </w:rPr>
      </w:pPr>
    </w:p>
    <w:p w14:paraId="12E280BB" w14:textId="77777777" w:rsidR="007D1E76" w:rsidRPr="00FA5B86" w:rsidRDefault="007D1E76" w:rsidP="007D1E76">
      <w:pPr>
        <w:spacing w:after="0" w:line="240" w:lineRule="auto"/>
        <w:jc w:val="both"/>
        <w:rPr>
          <w:rFonts w:cs="Calibri"/>
          <w:b/>
          <w:color w:val="C00000"/>
        </w:rPr>
      </w:pPr>
      <w:r w:rsidRPr="00FA5B86">
        <w:rPr>
          <w:rFonts w:cs="Calibri"/>
          <w:b/>
          <w:color w:val="C00000"/>
        </w:rPr>
        <w:t>5. Bases de Preparació</w:t>
      </w:r>
      <w:r w:rsidR="00E00323" w:rsidRPr="00FA5B86">
        <w:rPr>
          <w:rFonts w:cs="Calibri"/>
          <w:b/>
          <w:color w:val="C00000"/>
        </w:rPr>
        <w:t>n de los Estados Financieros:</w:t>
      </w:r>
    </w:p>
    <w:p w14:paraId="16713285" w14:textId="77777777" w:rsidR="007D1E76" w:rsidRPr="00FA5B86" w:rsidRDefault="007D1E76" w:rsidP="007D1E76">
      <w:pPr>
        <w:spacing w:after="0" w:line="240" w:lineRule="auto"/>
        <w:jc w:val="both"/>
        <w:rPr>
          <w:rFonts w:cs="Calibri"/>
          <w:color w:val="2E74B5" w:themeColor="accent1" w:themeShade="BF"/>
        </w:rPr>
      </w:pPr>
      <w:r w:rsidRPr="00FA5B86">
        <w:rPr>
          <w:rFonts w:cs="Calibri"/>
          <w:color w:val="2E74B5" w:themeColor="accent1" w:themeShade="BF"/>
        </w:rPr>
        <w:t>Se informará sobre:</w:t>
      </w:r>
    </w:p>
    <w:p w14:paraId="0FABCEB8" w14:textId="77777777" w:rsidR="007D1E76" w:rsidRPr="00FA5B86" w:rsidRDefault="007D1E76" w:rsidP="007D1E76">
      <w:pPr>
        <w:spacing w:after="0" w:line="240" w:lineRule="auto"/>
        <w:jc w:val="both"/>
        <w:rPr>
          <w:rFonts w:cs="Calibri"/>
          <w:color w:val="2E74B5" w:themeColor="accent1" w:themeShade="BF"/>
        </w:rPr>
      </w:pPr>
    </w:p>
    <w:p w14:paraId="4D261760" w14:textId="77777777" w:rsidR="007D1E76" w:rsidRPr="00FA5B86" w:rsidRDefault="007D1E76" w:rsidP="007D1E76">
      <w:pPr>
        <w:spacing w:after="0" w:line="240" w:lineRule="auto"/>
        <w:jc w:val="both"/>
        <w:rPr>
          <w:rFonts w:cs="Calibri"/>
          <w:color w:val="2E74B5" w:themeColor="accent1" w:themeShade="BF"/>
        </w:rPr>
      </w:pPr>
      <w:r w:rsidRPr="00FA5B86">
        <w:rPr>
          <w:rFonts w:cs="Calibri"/>
          <w:b/>
          <w:color w:val="2E74B5" w:themeColor="accent1" w:themeShade="BF"/>
        </w:rPr>
        <w:t>a)</w:t>
      </w:r>
      <w:r w:rsidRPr="00FA5B86">
        <w:rPr>
          <w:rFonts w:cs="Calibri"/>
          <w:color w:val="2E74B5" w:themeColor="accent1" w:themeShade="BF"/>
        </w:rPr>
        <w:t xml:space="preserve"> Si se ha observado la normatividad emitida por el CONAC y las disposiciones legales aplicables.</w:t>
      </w:r>
    </w:p>
    <w:p w14:paraId="495B8FFF"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__________________________________________________________</w:t>
      </w:r>
    </w:p>
    <w:p w14:paraId="58B00679" w14:textId="77777777" w:rsidR="007D1E76" w:rsidRPr="00E74967" w:rsidRDefault="007D1E76" w:rsidP="007D1E76">
      <w:pPr>
        <w:spacing w:after="0" w:line="240" w:lineRule="auto"/>
        <w:jc w:val="both"/>
        <w:rPr>
          <w:rFonts w:cs="Calibri"/>
        </w:rPr>
      </w:pPr>
    </w:p>
    <w:p w14:paraId="73F52BD1" w14:textId="7021126E"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lastRenderedPageBreak/>
        <w:t>b)</w:t>
      </w:r>
      <w:r w:rsidRPr="00EB5A19">
        <w:rPr>
          <w:rFonts w:cs="Calibri"/>
          <w:color w:val="2E74B5" w:themeColor="accent1" w:themeShade="BF"/>
        </w:rPr>
        <w:t xml:space="preserve"> La normatividad aplicada pa</w:t>
      </w:r>
      <w:r w:rsidR="001729A6">
        <w:rPr>
          <w:rFonts w:cs="Calibri"/>
          <w:color w:val="2E74B5" w:themeColor="accent1" w:themeShade="BF"/>
        </w:rPr>
        <w:t>ra</w:t>
      </w:r>
      <w:r w:rsidRPr="00EB5A19">
        <w:rPr>
          <w:rFonts w:cs="Calibri"/>
          <w:color w:val="2E74B5" w:themeColor="accent1" w:themeShade="BF"/>
        </w:rPr>
        <w:t xml:space="preserve"> el reconocimiento, valuación y revelación de los diferentes rubros de la información financiera, así como las bases de me</w:t>
      </w:r>
      <w:bookmarkStart w:id="0" w:name="_GoBack"/>
      <w:bookmarkEnd w:id="0"/>
      <w:r w:rsidRPr="00EB5A19">
        <w:rPr>
          <w:rFonts w:cs="Calibri"/>
          <w:color w:val="2E74B5" w:themeColor="accent1" w:themeShade="BF"/>
        </w:rPr>
        <w:t>dición utilizadas para la elaboración de los estados financieros; por ejemplo: costo histórico, valor de realización, valor razonable, valor de recuperación o cualquier otro método empleado y los criterios de aplicación de los mismos.</w:t>
      </w:r>
    </w:p>
    <w:p w14:paraId="1F9EE54B"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__________________________________________________________</w:t>
      </w:r>
    </w:p>
    <w:p w14:paraId="2DCF252C" w14:textId="77777777" w:rsidR="007D1E76" w:rsidRPr="00E74967" w:rsidRDefault="007D1E76" w:rsidP="007D1E76">
      <w:pPr>
        <w:spacing w:after="0" w:line="240" w:lineRule="auto"/>
        <w:jc w:val="both"/>
        <w:rPr>
          <w:rFonts w:cs="Calibri"/>
        </w:rPr>
      </w:pPr>
    </w:p>
    <w:p w14:paraId="7ED1C1ED"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c)</w:t>
      </w:r>
      <w:r w:rsidRPr="00EB5A19">
        <w:rPr>
          <w:rFonts w:cs="Calibri"/>
          <w:color w:val="2E74B5" w:themeColor="accent1" w:themeShade="BF"/>
        </w:rPr>
        <w:t xml:space="preserve"> Postulados básicos.</w:t>
      </w:r>
    </w:p>
    <w:p w14:paraId="5009A319"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__________________________________________________________</w:t>
      </w:r>
    </w:p>
    <w:p w14:paraId="1CC2D59E" w14:textId="77777777" w:rsidR="007D1E76" w:rsidRPr="00E74967" w:rsidRDefault="007D1E76" w:rsidP="007D1E76">
      <w:pPr>
        <w:spacing w:after="0" w:line="240" w:lineRule="auto"/>
        <w:jc w:val="both"/>
        <w:rPr>
          <w:rFonts w:cs="Calibri"/>
        </w:rPr>
      </w:pPr>
    </w:p>
    <w:p w14:paraId="7989D893"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d)</w:t>
      </w:r>
      <w:r w:rsidRPr="00EB5A19">
        <w:rPr>
          <w:rFonts w:cs="Calibri"/>
          <w:color w:val="2E74B5" w:themeColor="accent1" w:themeShade="BF"/>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__________________________________________________________</w:t>
      </w:r>
    </w:p>
    <w:p w14:paraId="02977AB3" w14:textId="77777777" w:rsidR="007D1E76" w:rsidRPr="00E74967" w:rsidRDefault="007D1E76" w:rsidP="007D1E76">
      <w:pPr>
        <w:spacing w:after="0" w:line="240" w:lineRule="auto"/>
        <w:jc w:val="both"/>
        <w:rPr>
          <w:rFonts w:cs="Calibri"/>
        </w:rPr>
      </w:pPr>
    </w:p>
    <w:p w14:paraId="084AD24A"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e)</w:t>
      </w:r>
      <w:r w:rsidRPr="00EB5A19">
        <w:rPr>
          <w:rFonts w:cs="Calibri"/>
          <w:color w:val="2E74B5" w:themeColor="accent1" w:themeShade="BF"/>
        </w:rPr>
        <w:t xml:space="preserve"> Para las entidades que por primera vez estén implementando la base devengado de acuerdo a la Ley de Contabilidad, deberán:</w:t>
      </w:r>
    </w:p>
    <w:p w14:paraId="39720946" w14:textId="77777777" w:rsidR="007D1E76" w:rsidRPr="00EB5A19" w:rsidRDefault="007D1E76" w:rsidP="007D1E76">
      <w:pPr>
        <w:spacing w:after="0" w:line="240" w:lineRule="auto"/>
        <w:jc w:val="both"/>
        <w:rPr>
          <w:rFonts w:cs="Calibri"/>
          <w:color w:val="2E74B5" w:themeColor="accent1" w:themeShade="BF"/>
        </w:rPr>
      </w:pPr>
    </w:p>
    <w:p w14:paraId="66DA893A"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*Revelar las nuevas políticas de reconocimiento:</w:t>
      </w:r>
    </w:p>
    <w:p w14:paraId="68CF5993"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75AC3EA1" w14:textId="77777777" w:rsidR="007D1E76" w:rsidRPr="00E74967" w:rsidRDefault="007D1E76" w:rsidP="007D1E76">
      <w:pPr>
        <w:spacing w:after="0" w:line="240" w:lineRule="auto"/>
        <w:jc w:val="both"/>
        <w:rPr>
          <w:rFonts w:cs="Calibri"/>
        </w:rPr>
      </w:pPr>
    </w:p>
    <w:p w14:paraId="6BEBABB5"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*Plan de implementación:</w:t>
      </w:r>
    </w:p>
    <w:p w14:paraId="4B273D75"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3B6D9156" w14:textId="77777777" w:rsidR="007D1E76" w:rsidRPr="00E74967" w:rsidRDefault="007D1E76" w:rsidP="007D1E76">
      <w:pPr>
        <w:spacing w:after="0" w:line="240" w:lineRule="auto"/>
        <w:jc w:val="both"/>
        <w:rPr>
          <w:rFonts w:cs="Calibri"/>
        </w:rPr>
      </w:pPr>
    </w:p>
    <w:p w14:paraId="756D764B"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*Revelar los cambios en las políticas, la clasificación y medición de las mismas, así como su impacto en la información financiera:</w:t>
      </w:r>
    </w:p>
    <w:p w14:paraId="0360043A"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158EC49E" w14:textId="77777777" w:rsidR="007D1E76" w:rsidRPr="00E74967" w:rsidRDefault="007D1E76" w:rsidP="007D1E76">
      <w:pPr>
        <w:spacing w:after="0" w:line="240" w:lineRule="auto"/>
        <w:jc w:val="both"/>
        <w:rPr>
          <w:rFonts w:cs="Calibri"/>
        </w:rPr>
      </w:pPr>
    </w:p>
    <w:p w14:paraId="2119A6EF" w14:textId="77777777" w:rsidR="007D1E76" w:rsidRPr="00E74967" w:rsidRDefault="007D1E76" w:rsidP="007D1E76">
      <w:pPr>
        <w:spacing w:after="0" w:line="240" w:lineRule="auto"/>
        <w:jc w:val="both"/>
        <w:rPr>
          <w:rFonts w:cs="Calibri"/>
        </w:rPr>
      </w:pPr>
    </w:p>
    <w:p w14:paraId="7025E7E0" w14:textId="77777777" w:rsidR="007D1E76" w:rsidRPr="00EB5A19" w:rsidRDefault="007D1E76" w:rsidP="007D1E76">
      <w:pPr>
        <w:spacing w:after="0" w:line="240" w:lineRule="auto"/>
        <w:jc w:val="both"/>
        <w:rPr>
          <w:rFonts w:cs="Calibri"/>
          <w:b/>
          <w:color w:val="C00000"/>
        </w:rPr>
      </w:pPr>
      <w:r w:rsidRPr="00EB5A19">
        <w:rPr>
          <w:rFonts w:cs="Calibri"/>
          <w:b/>
          <w:color w:val="C00000"/>
        </w:rPr>
        <w:t>6. Políticas de</w:t>
      </w:r>
      <w:r w:rsidR="00E00323" w:rsidRPr="00EB5A19">
        <w:rPr>
          <w:rFonts w:cs="Calibri"/>
          <w:b/>
          <w:color w:val="C00000"/>
        </w:rPr>
        <w:t xml:space="preserve"> Contabilidad Significativas:</w:t>
      </w:r>
    </w:p>
    <w:p w14:paraId="793D8065" w14:textId="77777777" w:rsidR="007D1E76" w:rsidRPr="00E74967" w:rsidRDefault="007D1E76" w:rsidP="007D1E76">
      <w:pPr>
        <w:spacing w:after="0" w:line="240" w:lineRule="auto"/>
        <w:jc w:val="both"/>
        <w:rPr>
          <w:rFonts w:cs="Calibri"/>
        </w:rPr>
      </w:pPr>
    </w:p>
    <w:p w14:paraId="4773A4FE"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Se informará sobre:</w:t>
      </w:r>
    </w:p>
    <w:p w14:paraId="3A8D7951" w14:textId="77777777" w:rsidR="007D1E76" w:rsidRPr="00EB5A19" w:rsidRDefault="007D1E76" w:rsidP="007D1E76">
      <w:pPr>
        <w:spacing w:after="0" w:line="240" w:lineRule="auto"/>
        <w:jc w:val="both"/>
        <w:rPr>
          <w:rFonts w:cs="Calibri"/>
          <w:color w:val="2E74B5" w:themeColor="accent1" w:themeShade="BF"/>
        </w:rPr>
      </w:pPr>
    </w:p>
    <w:p w14:paraId="6073F87B"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a)</w:t>
      </w:r>
      <w:r w:rsidRPr="00EB5A19">
        <w:rPr>
          <w:rFonts w:cs="Calibri"/>
          <w:color w:val="2E74B5" w:themeColor="accent1" w:themeShade="BF"/>
        </w:rPr>
        <w:t xml:space="preserve"> Actualización: se informará del método utilizado para la actualización del valor de los activos, pasivos y Hacienda Pública/</w:t>
      </w:r>
      <w:r w:rsidR="00657009" w:rsidRPr="00EB5A19">
        <w:rPr>
          <w:rFonts w:cs="Calibri"/>
          <w:color w:val="2E74B5" w:themeColor="accent1" w:themeShade="BF"/>
        </w:rPr>
        <w:t>P</w:t>
      </w:r>
      <w:r w:rsidRPr="00EB5A19">
        <w:rPr>
          <w:rFonts w:cs="Calibri"/>
          <w:color w:val="2E74B5" w:themeColor="accent1" w:themeShade="BF"/>
        </w:rPr>
        <w:t>atrimonio y las razones de dicha elección. Así como informar de la desconexión o reconexión inflacionaria:</w:t>
      </w:r>
    </w:p>
    <w:p w14:paraId="5C1081A4"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004A4D32" w14:textId="77777777" w:rsidR="007D1E76" w:rsidRPr="00E74967" w:rsidRDefault="007D1E76" w:rsidP="007D1E76">
      <w:pPr>
        <w:spacing w:after="0" w:line="240" w:lineRule="auto"/>
        <w:jc w:val="both"/>
        <w:rPr>
          <w:rFonts w:cs="Calibri"/>
        </w:rPr>
      </w:pPr>
    </w:p>
    <w:p w14:paraId="3D8017C2"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b)</w:t>
      </w:r>
      <w:r w:rsidRPr="00EB5A19">
        <w:rPr>
          <w:rFonts w:cs="Calibri"/>
          <w:color w:val="2E74B5" w:themeColor="accent1" w:themeShade="BF"/>
        </w:rPr>
        <w:t xml:space="preserve"> Informar sobre la realización de operaciones en el extranjero y de sus efectos en la información financiera gubernamental:</w:t>
      </w:r>
    </w:p>
    <w:p w14:paraId="2246D01F" w14:textId="77777777" w:rsidR="00EB5A19" w:rsidRDefault="00EB5A19" w:rsidP="007D1E76">
      <w:pPr>
        <w:spacing w:after="0" w:line="240" w:lineRule="auto"/>
        <w:jc w:val="both"/>
        <w:rPr>
          <w:rFonts w:cs="Calibri"/>
        </w:rPr>
      </w:pPr>
    </w:p>
    <w:p w14:paraId="6CFA9DEE"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35FCED94" w14:textId="77777777" w:rsidR="007D1E76" w:rsidRPr="00E74967" w:rsidRDefault="007D1E76" w:rsidP="007D1E76">
      <w:pPr>
        <w:spacing w:after="0" w:line="240" w:lineRule="auto"/>
        <w:jc w:val="both"/>
        <w:rPr>
          <w:rFonts w:cs="Calibri"/>
        </w:rPr>
      </w:pPr>
    </w:p>
    <w:p w14:paraId="433324F3"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c)</w:t>
      </w:r>
      <w:r w:rsidRPr="00EB5A19">
        <w:rPr>
          <w:rFonts w:cs="Calibri"/>
          <w:color w:val="2E74B5" w:themeColor="accent1" w:themeShade="BF"/>
        </w:rPr>
        <w:t xml:space="preserve"> Método de valuación de la inversión en acciones de Compañías subsidiarias no consolidadas y asociadas:</w:t>
      </w:r>
    </w:p>
    <w:p w14:paraId="67FEF7A8" w14:textId="77777777" w:rsidR="00EB5A19" w:rsidRDefault="00EB5A19" w:rsidP="00EB5A19">
      <w:pPr>
        <w:spacing w:after="0" w:line="240" w:lineRule="auto"/>
        <w:jc w:val="both"/>
        <w:rPr>
          <w:rFonts w:ascii="Arial" w:hAnsi="Arial" w:cs="Arial"/>
          <w:i/>
          <w:sz w:val="20"/>
          <w:szCs w:val="20"/>
        </w:rPr>
      </w:pPr>
    </w:p>
    <w:p w14:paraId="6589B4C9"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2EA4933C" w14:textId="77777777" w:rsidR="007D1E76" w:rsidRPr="00E74967" w:rsidRDefault="007D1E76" w:rsidP="007D1E76">
      <w:pPr>
        <w:spacing w:after="0" w:line="240" w:lineRule="auto"/>
        <w:jc w:val="both"/>
        <w:rPr>
          <w:rFonts w:cs="Calibri"/>
        </w:rPr>
      </w:pPr>
    </w:p>
    <w:p w14:paraId="7AB12262"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d)</w:t>
      </w:r>
      <w:r w:rsidRPr="00EB5A19">
        <w:rPr>
          <w:rFonts w:cs="Calibri"/>
          <w:color w:val="2E74B5" w:themeColor="accent1" w:themeShade="BF"/>
        </w:rPr>
        <w:t xml:space="preserve"> Sistema y método de valuación de inventarios y costo de lo vendido:</w:t>
      </w:r>
    </w:p>
    <w:p w14:paraId="082F82A0" w14:textId="77777777" w:rsidR="00EB5A19" w:rsidRDefault="00EB5A19" w:rsidP="00EB5A19">
      <w:pPr>
        <w:spacing w:after="0" w:line="240" w:lineRule="auto"/>
        <w:jc w:val="both"/>
        <w:rPr>
          <w:rFonts w:ascii="Arial" w:hAnsi="Arial" w:cs="Arial"/>
          <w:i/>
          <w:sz w:val="20"/>
          <w:szCs w:val="20"/>
        </w:rPr>
      </w:pPr>
    </w:p>
    <w:p w14:paraId="6EE9707D"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0B282127" w14:textId="77777777" w:rsidR="007D1E76" w:rsidRPr="00E74967" w:rsidRDefault="007D1E76" w:rsidP="007D1E76">
      <w:pPr>
        <w:spacing w:after="0" w:line="240" w:lineRule="auto"/>
        <w:jc w:val="both"/>
        <w:rPr>
          <w:rFonts w:cs="Calibri"/>
        </w:rPr>
      </w:pPr>
    </w:p>
    <w:p w14:paraId="1D8C904A"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e)</w:t>
      </w:r>
      <w:r w:rsidRPr="00EB5A19">
        <w:rPr>
          <w:rFonts w:cs="Calibri"/>
          <w:color w:val="2E74B5" w:themeColor="accent1" w:themeShade="BF"/>
        </w:rPr>
        <w:t xml:space="preserve"> Beneficios a empleados: revelar el cálculo de la reserva actuarial, valor presente de los ingresos esperados comparado con el valor presente de la estimación de gastos tanto de los beneficiarios actuales como futuros:</w:t>
      </w:r>
    </w:p>
    <w:p w14:paraId="378F8822" w14:textId="77777777" w:rsidR="00EB5A19" w:rsidRDefault="00EB5A19" w:rsidP="00EB5A19">
      <w:pPr>
        <w:spacing w:after="0" w:line="240" w:lineRule="auto"/>
        <w:jc w:val="both"/>
        <w:rPr>
          <w:rFonts w:ascii="Arial" w:hAnsi="Arial" w:cs="Arial"/>
          <w:i/>
          <w:sz w:val="20"/>
          <w:szCs w:val="20"/>
        </w:rPr>
      </w:pPr>
    </w:p>
    <w:p w14:paraId="24D140F7" w14:textId="77777777" w:rsidR="00E33A6F" w:rsidRPr="00FA5B86" w:rsidRDefault="00EB5A19" w:rsidP="00E33A6F">
      <w:pPr>
        <w:spacing w:after="0" w:line="240" w:lineRule="auto"/>
        <w:jc w:val="both"/>
        <w:rPr>
          <w:rFonts w:ascii="Arial" w:hAnsi="Arial" w:cs="Arial"/>
          <w:i/>
          <w:sz w:val="20"/>
          <w:szCs w:val="20"/>
        </w:rPr>
      </w:pPr>
      <w:r w:rsidRPr="00EB5A19">
        <w:rPr>
          <w:rFonts w:ascii="Arial" w:hAnsi="Arial" w:cs="Arial"/>
          <w:i/>
          <w:sz w:val="20"/>
          <w:szCs w:val="20"/>
        </w:rPr>
        <w:t xml:space="preserve"> </w:t>
      </w:r>
      <w:r w:rsidR="00E33A6F" w:rsidRPr="00FA5B86">
        <w:rPr>
          <w:rFonts w:ascii="Arial" w:hAnsi="Arial" w:cs="Arial"/>
          <w:i/>
          <w:sz w:val="20"/>
          <w:szCs w:val="20"/>
        </w:rPr>
        <w:t>“</w:t>
      </w:r>
      <w:r w:rsidR="00E33A6F">
        <w:rPr>
          <w:rFonts w:ascii="Arial" w:hAnsi="Arial" w:cs="Arial"/>
          <w:i/>
          <w:sz w:val="20"/>
          <w:szCs w:val="20"/>
        </w:rPr>
        <w:t xml:space="preserve">Esta </w:t>
      </w:r>
      <w:r w:rsidR="00E33A6F" w:rsidRPr="00FA5B86">
        <w:rPr>
          <w:rFonts w:ascii="Arial" w:hAnsi="Arial" w:cs="Arial"/>
          <w:i/>
          <w:sz w:val="20"/>
          <w:szCs w:val="20"/>
        </w:rPr>
        <w:t>No</w:t>
      </w:r>
      <w:r w:rsidR="00E33A6F">
        <w:rPr>
          <w:rFonts w:ascii="Arial" w:hAnsi="Arial" w:cs="Arial"/>
          <w:i/>
          <w:sz w:val="20"/>
          <w:szCs w:val="20"/>
        </w:rPr>
        <w:t>ta no le</w:t>
      </w:r>
      <w:r w:rsidR="00E33A6F" w:rsidRPr="00FA5B86">
        <w:rPr>
          <w:rFonts w:ascii="Arial" w:hAnsi="Arial" w:cs="Arial"/>
          <w:i/>
          <w:sz w:val="20"/>
          <w:szCs w:val="20"/>
        </w:rPr>
        <w:t xml:space="preserve"> Aplica</w:t>
      </w:r>
      <w:r w:rsidR="00E33A6F">
        <w:rPr>
          <w:rFonts w:ascii="Arial" w:hAnsi="Arial" w:cs="Arial"/>
          <w:i/>
          <w:sz w:val="20"/>
          <w:szCs w:val="20"/>
        </w:rPr>
        <w:t xml:space="preserve"> al Ente Público</w:t>
      </w:r>
      <w:r w:rsidR="00E33A6F" w:rsidRPr="00FA5B86">
        <w:rPr>
          <w:rFonts w:ascii="Arial" w:hAnsi="Arial" w:cs="Arial"/>
          <w:i/>
          <w:sz w:val="20"/>
          <w:szCs w:val="20"/>
        </w:rPr>
        <w:t>”</w:t>
      </w:r>
    </w:p>
    <w:p w14:paraId="6636D845" w14:textId="77777777" w:rsidR="007D1E76" w:rsidRPr="00E74967" w:rsidRDefault="007D1E76" w:rsidP="007D1E76">
      <w:pPr>
        <w:spacing w:after="0" w:line="240" w:lineRule="auto"/>
        <w:jc w:val="both"/>
        <w:rPr>
          <w:rFonts w:cs="Calibri"/>
        </w:rPr>
      </w:pPr>
    </w:p>
    <w:p w14:paraId="6113C381"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f)</w:t>
      </w:r>
      <w:r w:rsidRPr="00EB5A19">
        <w:rPr>
          <w:rFonts w:cs="Calibri"/>
          <w:color w:val="2E74B5" w:themeColor="accent1" w:themeShade="BF"/>
        </w:rPr>
        <w:t xml:space="preserve"> Provisiones: objetivo de su creación, monto y plazo:</w:t>
      </w:r>
    </w:p>
    <w:p w14:paraId="1FB83FF6" w14:textId="77777777" w:rsidR="00EB5A19" w:rsidRDefault="00EB5A19" w:rsidP="007D1E76">
      <w:pPr>
        <w:spacing w:after="0" w:line="240" w:lineRule="auto"/>
        <w:jc w:val="both"/>
        <w:rPr>
          <w:rFonts w:ascii="Arial" w:hAnsi="Arial" w:cs="Arial"/>
          <w:i/>
          <w:sz w:val="20"/>
          <w:szCs w:val="20"/>
        </w:rPr>
      </w:pPr>
    </w:p>
    <w:p w14:paraId="0AB60107"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7A7A80CD" w14:textId="77777777" w:rsidR="00EB5A19" w:rsidRDefault="00EB5A19" w:rsidP="007D1E76">
      <w:pPr>
        <w:spacing w:after="0" w:line="240" w:lineRule="auto"/>
        <w:jc w:val="both"/>
        <w:rPr>
          <w:rFonts w:cs="Calibri"/>
          <w:b/>
        </w:rPr>
      </w:pPr>
    </w:p>
    <w:p w14:paraId="4190001D"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g)</w:t>
      </w:r>
      <w:r w:rsidRPr="00EB5A19">
        <w:rPr>
          <w:rFonts w:cs="Calibri"/>
          <w:color w:val="2E74B5" w:themeColor="accent1" w:themeShade="BF"/>
        </w:rPr>
        <w:t xml:space="preserve"> Reservas: objetivo de su creación, monto y plazo:</w:t>
      </w:r>
    </w:p>
    <w:p w14:paraId="72E0BEC4" w14:textId="77777777" w:rsidR="00EB5A19" w:rsidRDefault="00EB5A19" w:rsidP="00EB5A19">
      <w:pPr>
        <w:spacing w:after="0" w:line="240" w:lineRule="auto"/>
        <w:jc w:val="both"/>
        <w:rPr>
          <w:rFonts w:ascii="Arial" w:hAnsi="Arial" w:cs="Arial"/>
          <w:i/>
          <w:sz w:val="20"/>
          <w:szCs w:val="20"/>
        </w:rPr>
      </w:pPr>
    </w:p>
    <w:p w14:paraId="03520CFD"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48187B92" w14:textId="77777777" w:rsidR="007D1E76" w:rsidRPr="00E74967" w:rsidRDefault="007D1E76" w:rsidP="007D1E76">
      <w:pPr>
        <w:spacing w:after="0" w:line="240" w:lineRule="auto"/>
        <w:jc w:val="both"/>
        <w:rPr>
          <w:rFonts w:cs="Calibri"/>
        </w:rPr>
      </w:pPr>
    </w:p>
    <w:p w14:paraId="6E497DBB"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h)</w:t>
      </w:r>
      <w:r w:rsidRPr="00EB5A19">
        <w:rPr>
          <w:rFonts w:cs="Calibri"/>
          <w:color w:val="2E74B5" w:themeColor="accent1" w:themeShade="BF"/>
        </w:rPr>
        <w:t xml:space="preserve"> Cambios en políticas contables y corrección de errores junto con la revelación de los efectos que se tendrá en la información financiera del ente público, ya sea retrospectivos o prospectivos:</w:t>
      </w:r>
    </w:p>
    <w:p w14:paraId="35B974BB" w14:textId="77777777" w:rsidR="00EB5A19" w:rsidRDefault="00EB5A19" w:rsidP="00EB5A19">
      <w:pPr>
        <w:spacing w:after="0" w:line="240" w:lineRule="auto"/>
        <w:jc w:val="both"/>
        <w:rPr>
          <w:rFonts w:ascii="Arial" w:hAnsi="Arial" w:cs="Arial"/>
          <w:i/>
          <w:sz w:val="20"/>
          <w:szCs w:val="20"/>
        </w:rPr>
      </w:pPr>
    </w:p>
    <w:p w14:paraId="7DC8F629"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2B6668A3" w14:textId="77777777" w:rsidR="007D1E76" w:rsidRPr="00E74967" w:rsidRDefault="007D1E76" w:rsidP="007D1E76">
      <w:pPr>
        <w:spacing w:after="0" w:line="240" w:lineRule="auto"/>
        <w:jc w:val="both"/>
        <w:rPr>
          <w:rFonts w:cs="Calibri"/>
        </w:rPr>
      </w:pPr>
    </w:p>
    <w:p w14:paraId="12C8FA9A"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i)</w:t>
      </w:r>
      <w:r w:rsidRPr="00EB5A19">
        <w:rPr>
          <w:rFonts w:cs="Calibri"/>
          <w:color w:val="2E74B5" w:themeColor="accent1" w:themeShade="BF"/>
        </w:rPr>
        <w:t xml:space="preserve"> Reclasificaciones: Se deben revelar todos aquellos movimientos entre cuentas por efectos de cambios en los tipos de operaciones:</w:t>
      </w:r>
    </w:p>
    <w:p w14:paraId="1B22E24B" w14:textId="77777777" w:rsidR="00EB5A19" w:rsidRDefault="00EB5A19" w:rsidP="00EB5A19">
      <w:pPr>
        <w:spacing w:after="0" w:line="240" w:lineRule="auto"/>
        <w:jc w:val="both"/>
        <w:rPr>
          <w:rFonts w:ascii="Arial" w:hAnsi="Arial" w:cs="Arial"/>
          <w:i/>
          <w:sz w:val="20"/>
          <w:szCs w:val="20"/>
        </w:rPr>
      </w:pPr>
    </w:p>
    <w:p w14:paraId="21988234"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6E29C8B6" w14:textId="77777777" w:rsidR="007D1E76" w:rsidRPr="00E74967" w:rsidRDefault="007D1E76" w:rsidP="007D1E76">
      <w:pPr>
        <w:spacing w:after="0" w:line="240" w:lineRule="auto"/>
        <w:jc w:val="both"/>
        <w:rPr>
          <w:rFonts w:cs="Calibri"/>
        </w:rPr>
      </w:pPr>
    </w:p>
    <w:p w14:paraId="5405EF84"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j)</w:t>
      </w:r>
      <w:r w:rsidRPr="00EB5A19">
        <w:rPr>
          <w:rFonts w:cs="Calibri"/>
          <w:color w:val="2E74B5" w:themeColor="accent1" w:themeShade="BF"/>
        </w:rPr>
        <w:t xml:space="preserve"> Depuración y cancelación de saldos:</w:t>
      </w:r>
    </w:p>
    <w:p w14:paraId="72C7C04E"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7D06B360" w14:textId="77777777" w:rsidR="007D1E76" w:rsidRPr="00E74967" w:rsidRDefault="007D1E76" w:rsidP="007D1E76">
      <w:pPr>
        <w:spacing w:after="0" w:line="240" w:lineRule="auto"/>
        <w:jc w:val="both"/>
        <w:rPr>
          <w:rFonts w:cs="Calibri"/>
        </w:rPr>
      </w:pPr>
    </w:p>
    <w:p w14:paraId="051C6058" w14:textId="77777777" w:rsidR="00E00323" w:rsidRPr="00E74967" w:rsidRDefault="00E00323" w:rsidP="007D1E76">
      <w:pPr>
        <w:spacing w:after="0" w:line="240" w:lineRule="auto"/>
        <w:jc w:val="both"/>
        <w:rPr>
          <w:rFonts w:cs="Calibri"/>
        </w:rPr>
      </w:pPr>
    </w:p>
    <w:p w14:paraId="2CA8BAC1" w14:textId="77777777" w:rsidR="007D1E76" w:rsidRPr="00EB5A19" w:rsidRDefault="007D1E76" w:rsidP="007D1E76">
      <w:pPr>
        <w:spacing w:after="0" w:line="240" w:lineRule="auto"/>
        <w:jc w:val="both"/>
        <w:rPr>
          <w:rFonts w:cs="Calibri"/>
          <w:b/>
          <w:color w:val="C00000"/>
        </w:rPr>
      </w:pPr>
      <w:r w:rsidRPr="00EB5A19">
        <w:rPr>
          <w:rFonts w:cs="Calibri"/>
          <w:b/>
          <w:color w:val="C00000"/>
        </w:rPr>
        <w:t>7. Posición en Moneda Extranjera y Pro</w:t>
      </w:r>
      <w:r w:rsidR="00E00323" w:rsidRPr="00EB5A19">
        <w:rPr>
          <w:rFonts w:cs="Calibri"/>
          <w:b/>
          <w:color w:val="C00000"/>
        </w:rPr>
        <w:t>tección por Riesgo Cambiario:</w:t>
      </w:r>
    </w:p>
    <w:p w14:paraId="60114D16" w14:textId="77777777" w:rsidR="007D1E76" w:rsidRPr="00E74967" w:rsidRDefault="007D1E76" w:rsidP="007D1E76">
      <w:pPr>
        <w:spacing w:after="0" w:line="240" w:lineRule="auto"/>
        <w:jc w:val="both"/>
        <w:rPr>
          <w:rFonts w:cs="Calibri"/>
        </w:rPr>
      </w:pPr>
    </w:p>
    <w:p w14:paraId="12C73011"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Se informará sobre:</w:t>
      </w:r>
    </w:p>
    <w:p w14:paraId="7E8BC54D" w14:textId="77777777" w:rsidR="007D1E76" w:rsidRPr="00EB5A19" w:rsidRDefault="007D1E76" w:rsidP="007D1E76">
      <w:pPr>
        <w:spacing w:after="0" w:line="240" w:lineRule="auto"/>
        <w:jc w:val="both"/>
        <w:rPr>
          <w:rFonts w:cs="Calibri"/>
          <w:color w:val="2E74B5" w:themeColor="accent1" w:themeShade="BF"/>
        </w:rPr>
      </w:pPr>
    </w:p>
    <w:p w14:paraId="531D25F7"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a)</w:t>
      </w:r>
      <w:r w:rsidRPr="00EB5A19">
        <w:rPr>
          <w:rFonts w:cs="Calibri"/>
          <w:color w:val="2E74B5" w:themeColor="accent1" w:themeShade="BF"/>
        </w:rPr>
        <w:t xml:space="preserve"> Activos en moneda extranjera:</w:t>
      </w:r>
    </w:p>
    <w:p w14:paraId="60DFB831" w14:textId="77777777" w:rsidR="00EB5A19" w:rsidRDefault="00EB5A19" w:rsidP="00EB5A19">
      <w:pPr>
        <w:spacing w:after="0" w:line="240" w:lineRule="auto"/>
        <w:jc w:val="both"/>
        <w:rPr>
          <w:rFonts w:ascii="Arial" w:hAnsi="Arial" w:cs="Arial"/>
          <w:i/>
          <w:sz w:val="20"/>
          <w:szCs w:val="20"/>
        </w:rPr>
      </w:pPr>
    </w:p>
    <w:p w14:paraId="7429721C"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43F08C55" w14:textId="77777777" w:rsidR="007D1E76" w:rsidRPr="00E74967" w:rsidRDefault="007D1E76" w:rsidP="007D1E76">
      <w:pPr>
        <w:spacing w:after="0" w:line="240" w:lineRule="auto"/>
        <w:jc w:val="both"/>
        <w:rPr>
          <w:rFonts w:cs="Calibri"/>
        </w:rPr>
      </w:pPr>
    </w:p>
    <w:p w14:paraId="7E447291" w14:textId="77777777" w:rsidR="007D1E76" w:rsidRPr="00E74967" w:rsidRDefault="007D1E76" w:rsidP="007D1E76">
      <w:pPr>
        <w:spacing w:after="0" w:line="240" w:lineRule="auto"/>
        <w:jc w:val="both"/>
        <w:rPr>
          <w:rFonts w:cs="Calibri"/>
        </w:rPr>
      </w:pPr>
      <w:r w:rsidRPr="00EB5A19">
        <w:rPr>
          <w:rFonts w:cs="Calibri"/>
          <w:b/>
          <w:color w:val="2E74B5" w:themeColor="accent1" w:themeShade="BF"/>
        </w:rPr>
        <w:t>b)</w:t>
      </w:r>
      <w:r w:rsidRPr="00EB5A19">
        <w:rPr>
          <w:rFonts w:cs="Calibri"/>
          <w:color w:val="2E74B5" w:themeColor="accent1" w:themeShade="BF"/>
        </w:rPr>
        <w:t xml:space="preserve"> Pasivos en moneda extranjera:</w:t>
      </w:r>
    </w:p>
    <w:p w14:paraId="18C3190C" w14:textId="77777777" w:rsidR="00EB5A19" w:rsidRDefault="00EB5A19" w:rsidP="00EB5A19">
      <w:pPr>
        <w:spacing w:after="0" w:line="240" w:lineRule="auto"/>
        <w:jc w:val="both"/>
        <w:rPr>
          <w:rFonts w:ascii="Arial" w:hAnsi="Arial" w:cs="Arial"/>
          <w:i/>
          <w:sz w:val="20"/>
          <w:szCs w:val="20"/>
        </w:rPr>
      </w:pPr>
    </w:p>
    <w:p w14:paraId="750B8D16"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4FFA38F" w14:textId="77777777" w:rsidR="007D1E76" w:rsidRPr="00E74967" w:rsidRDefault="007D1E76" w:rsidP="007D1E76">
      <w:pPr>
        <w:spacing w:after="0" w:line="240" w:lineRule="auto"/>
        <w:jc w:val="both"/>
        <w:rPr>
          <w:rFonts w:cs="Calibri"/>
        </w:rPr>
      </w:pPr>
    </w:p>
    <w:p w14:paraId="6E3298C9"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 xml:space="preserve">c) </w:t>
      </w:r>
      <w:r w:rsidRPr="00EB5A19">
        <w:rPr>
          <w:rFonts w:cs="Calibri"/>
          <w:color w:val="2E74B5" w:themeColor="accent1" w:themeShade="BF"/>
        </w:rPr>
        <w:t>Posición en moneda extranjera:</w:t>
      </w:r>
    </w:p>
    <w:p w14:paraId="279EDB2A" w14:textId="77777777" w:rsidR="00EB5A19" w:rsidRDefault="00EB5A19" w:rsidP="00EB5A19">
      <w:pPr>
        <w:spacing w:after="0" w:line="240" w:lineRule="auto"/>
        <w:jc w:val="both"/>
        <w:rPr>
          <w:rFonts w:ascii="Arial" w:hAnsi="Arial" w:cs="Arial"/>
          <w:i/>
          <w:sz w:val="20"/>
          <w:szCs w:val="20"/>
        </w:rPr>
      </w:pPr>
    </w:p>
    <w:p w14:paraId="57307B01"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273CC39D" w14:textId="77777777" w:rsidR="007D1E76" w:rsidRPr="00E74967" w:rsidRDefault="007D1E76" w:rsidP="007D1E76">
      <w:pPr>
        <w:spacing w:after="0" w:line="240" w:lineRule="auto"/>
        <w:jc w:val="both"/>
        <w:rPr>
          <w:rFonts w:cs="Calibri"/>
        </w:rPr>
      </w:pPr>
    </w:p>
    <w:p w14:paraId="61291BC6"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d)</w:t>
      </w:r>
      <w:r w:rsidRPr="00EB5A19">
        <w:rPr>
          <w:rFonts w:cs="Calibri"/>
          <w:color w:val="2E74B5" w:themeColor="accent1" w:themeShade="BF"/>
        </w:rPr>
        <w:t xml:space="preserve"> Tipo de cambio:</w:t>
      </w:r>
    </w:p>
    <w:p w14:paraId="0EA46F03" w14:textId="77777777" w:rsidR="00EB5A19" w:rsidRDefault="00EB5A19" w:rsidP="00EB5A19">
      <w:pPr>
        <w:spacing w:after="0" w:line="240" w:lineRule="auto"/>
        <w:jc w:val="both"/>
        <w:rPr>
          <w:rFonts w:ascii="Arial" w:hAnsi="Arial" w:cs="Arial"/>
          <w:i/>
          <w:sz w:val="20"/>
          <w:szCs w:val="20"/>
        </w:rPr>
      </w:pPr>
    </w:p>
    <w:p w14:paraId="79EBB27F"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146CAEC1" w14:textId="77777777" w:rsidR="007D1E76" w:rsidRPr="00E74967" w:rsidRDefault="007D1E76" w:rsidP="007D1E76">
      <w:pPr>
        <w:spacing w:after="0" w:line="240" w:lineRule="auto"/>
        <w:jc w:val="both"/>
        <w:rPr>
          <w:rFonts w:cs="Calibri"/>
        </w:rPr>
      </w:pPr>
    </w:p>
    <w:p w14:paraId="2878D6F1"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 xml:space="preserve">e) </w:t>
      </w:r>
      <w:r w:rsidRPr="00EB5A19">
        <w:rPr>
          <w:rFonts w:cs="Calibri"/>
          <w:color w:val="2E74B5" w:themeColor="accent1" w:themeShade="BF"/>
        </w:rPr>
        <w:t>Equivalente en moneda nacional:</w:t>
      </w:r>
    </w:p>
    <w:p w14:paraId="176DAEEE" w14:textId="77777777" w:rsidR="00EB5A19" w:rsidRDefault="00EB5A19" w:rsidP="00EB5A19">
      <w:pPr>
        <w:spacing w:after="0" w:line="240" w:lineRule="auto"/>
        <w:jc w:val="both"/>
        <w:rPr>
          <w:rFonts w:ascii="Arial" w:hAnsi="Arial" w:cs="Arial"/>
          <w:i/>
          <w:sz w:val="20"/>
          <w:szCs w:val="20"/>
        </w:rPr>
      </w:pPr>
    </w:p>
    <w:p w14:paraId="622BA9DF"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63BA699C" w14:textId="77777777" w:rsidR="007D1E76" w:rsidRPr="00E74967" w:rsidRDefault="007D1E76" w:rsidP="007D1E76">
      <w:pPr>
        <w:spacing w:after="0" w:line="240" w:lineRule="auto"/>
        <w:jc w:val="both"/>
        <w:rPr>
          <w:rFonts w:cs="Calibri"/>
        </w:rPr>
      </w:pPr>
    </w:p>
    <w:p w14:paraId="01728175" w14:textId="77777777" w:rsidR="007D1E76" w:rsidRPr="00E74967" w:rsidRDefault="007D1E76" w:rsidP="007D1E76">
      <w:pPr>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7D1E76">
      <w:pPr>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7D1E76">
      <w:pPr>
        <w:spacing w:after="0" w:line="240" w:lineRule="auto"/>
        <w:jc w:val="both"/>
        <w:rPr>
          <w:rFonts w:cs="Calibri"/>
        </w:rPr>
      </w:pPr>
    </w:p>
    <w:p w14:paraId="6B0A6883" w14:textId="77777777" w:rsidR="007D1E76" w:rsidRPr="00E74967" w:rsidRDefault="007D1E76" w:rsidP="007D1E76">
      <w:pPr>
        <w:spacing w:after="0" w:line="240" w:lineRule="auto"/>
        <w:jc w:val="both"/>
        <w:rPr>
          <w:rFonts w:cs="Calibri"/>
        </w:rPr>
      </w:pPr>
    </w:p>
    <w:p w14:paraId="095853FE" w14:textId="77777777" w:rsidR="007D1E76" w:rsidRPr="00EB5A19" w:rsidRDefault="007D1E76" w:rsidP="007D1E76">
      <w:pPr>
        <w:spacing w:after="0" w:line="240" w:lineRule="auto"/>
        <w:jc w:val="both"/>
        <w:rPr>
          <w:rFonts w:cs="Calibri"/>
          <w:b/>
          <w:color w:val="C00000"/>
        </w:rPr>
      </w:pPr>
      <w:r w:rsidRPr="00EB5A19">
        <w:rPr>
          <w:rFonts w:cs="Calibri"/>
          <w:b/>
          <w:color w:val="C00000"/>
        </w:rPr>
        <w:t xml:space="preserve">8. </w:t>
      </w:r>
      <w:r w:rsidR="00E00323" w:rsidRPr="00EB5A19">
        <w:rPr>
          <w:rFonts w:cs="Calibri"/>
          <w:b/>
          <w:color w:val="C00000"/>
        </w:rPr>
        <w:t>Reporte Analítico del Activo:</w:t>
      </w:r>
    </w:p>
    <w:p w14:paraId="1C9AE80E" w14:textId="77777777" w:rsidR="007D1E76" w:rsidRPr="00E74967" w:rsidRDefault="007D1E76" w:rsidP="007D1E76">
      <w:pPr>
        <w:spacing w:after="0" w:line="240" w:lineRule="auto"/>
        <w:jc w:val="both"/>
        <w:rPr>
          <w:rFonts w:cs="Calibri"/>
        </w:rPr>
      </w:pPr>
    </w:p>
    <w:p w14:paraId="7DC51E13"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Debe mostrar la siguien</w:t>
      </w:r>
      <w:r w:rsidR="00E00323" w:rsidRPr="00EB5A19">
        <w:rPr>
          <w:rFonts w:cs="Calibri"/>
          <w:color w:val="2E74B5" w:themeColor="accent1" w:themeShade="BF"/>
        </w:rPr>
        <w:t>te información:</w:t>
      </w:r>
    </w:p>
    <w:p w14:paraId="0E1FB990" w14:textId="77777777" w:rsidR="007D1E76" w:rsidRPr="00EB5A19" w:rsidRDefault="007D1E76" w:rsidP="007D1E76">
      <w:pPr>
        <w:spacing w:after="0" w:line="240" w:lineRule="auto"/>
        <w:jc w:val="both"/>
        <w:rPr>
          <w:rFonts w:cs="Calibri"/>
          <w:color w:val="2E74B5" w:themeColor="accent1" w:themeShade="BF"/>
        </w:rPr>
      </w:pPr>
    </w:p>
    <w:p w14:paraId="18A5CC0A" w14:textId="0EBFBE3A" w:rsidR="007D1E76"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a)</w:t>
      </w:r>
      <w:r w:rsidRPr="00EB5A19">
        <w:rPr>
          <w:rFonts w:cs="Calibri"/>
          <w:color w:val="2E74B5" w:themeColor="accent1" w:themeShade="BF"/>
        </w:rPr>
        <w:t xml:space="preserve"> Vida útil o porcentajes de depreciación, deterioro o amortización utilizados en los diferentes tipos de activos:</w:t>
      </w:r>
    </w:p>
    <w:p w14:paraId="6B9E0D0A" w14:textId="77777777" w:rsidR="00050239" w:rsidRDefault="00050239" w:rsidP="007D1E76">
      <w:pPr>
        <w:spacing w:after="0" w:line="240" w:lineRule="auto"/>
        <w:jc w:val="both"/>
        <w:rPr>
          <w:rFonts w:cs="Calibri"/>
          <w:i/>
          <w:color w:val="000000" w:themeColor="text1"/>
        </w:rPr>
      </w:pPr>
    </w:p>
    <w:p w14:paraId="6CF175DC" w14:textId="050B1B34" w:rsidR="00050239" w:rsidRPr="00050239" w:rsidRDefault="00050239" w:rsidP="007D1E76">
      <w:pPr>
        <w:spacing w:after="0" w:line="240" w:lineRule="auto"/>
        <w:jc w:val="both"/>
        <w:rPr>
          <w:rFonts w:cs="Calibri"/>
          <w:i/>
          <w:color w:val="2E74B5" w:themeColor="accent1" w:themeShade="BF"/>
        </w:rPr>
      </w:pPr>
      <w:r w:rsidRPr="00050239">
        <w:rPr>
          <w:rFonts w:cs="Calibri"/>
          <w:i/>
          <w:color w:val="000000" w:themeColor="text1"/>
        </w:rPr>
        <w:t>Método de la Depreciación en Línea Recta</w:t>
      </w:r>
    </w:p>
    <w:p w14:paraId="2B914A04" w14:textId="77777777" w:rsidR="007D1E76" w:rsidRPr="00E74967" w:rsidRDefault="007D1E76" w:rsidP="007D1E76">
      <w:pPr>
        <w:spacing w:after="0" w:line="240" w:lineRule="auto"/>
        <w:jc w:val="both"/>
        <w:rPr>
          <w:rFonts w:cs="Calibri"/>
        </w:rPr>
      </w:pPr>
    </w:p>
    <w:p w14:paraId="7FD13FA2"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b)</w:t>
      </w:r>
      <w:r w:rsidRPr="00C2014E">
        <w:rPr>
          <w:rFonts w:cs="Calibri"/>
          <w:color w:val="2E74B5" w:themeColor="accent1" w:themeShade="BF"/>
        </w:rPr>
        <w:t xml:space="preserve"> Cambios en el porcentaje de depreciación o valor residual de los activos:</w:t>
      </w:r>
    </w:p>
    <w:p w14:paraId="23DFC295" w14:textId="77777777" w:rsidR="00C2014E" w:rsidRDefault="00C2014E" w:rsidP="00C2014E">
      <w:pPr>
        <w:spacing w:after="0" w:line="240" w:lineRule="auto"/>
        <w:jc w:val="both"/>
        <w:rPr>
          <w:rFonts w:ascii="Arial" w:hAnsi="Arial" w:cs="Arial"/>
          <w:i/>
          <w:sz w:val="20"/>
          <w:szCs w:val="20"/>
        </w:rPr>
      </w:pPr>
    </w:p>
    <w:p w14:paraId="1A152EF3"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9A0596F" w14:textId="77777777" w:rsidR="007D1E76" w:rsidRPr="00E74967" w:rsidRDefault="007D1E76" w:rsidP="007D1E76">
      <w:pPr>
        <w:spacing w:after="0" w:line="240" w:lineRule="auto"/>
        <w:jc w:val="both"/>
        <w:rPr>
          <w:rFonts w:cs="Calibri"/>
        </w:rPr>
      </w:pPr>
    </w:p>
    <w:p w14:paraId="7793D355"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c)</w:t>
      </w:r>
      <w:r w:rsidRPr="00C2014E">
        <w:rPr>
          <w:rFonts w:cs="Calibri"/>
          <w:color w:val="2E74B5" w:themeColor="accent1" w:themeShade="BF"/>
        </w:rPr>
        <w:t xml:space="preserve"> Importe de los gastos capitalizados en el ejercicio, tanto financieros como de investigación y desarrollo:</w:t>
      </w:r>
    </w:p>
    <w:p w14:paraId="498832AA" w14:textId="77777777" w:rsidR="00C2014E" w:rsidRDefault="00C2014E" w:rsidP="00C2014E">
      <w:pPr>
        <w:spacing w:after="0" w:line="240" w:lineRule="auto"/>
        <w:jc w:val="both"/>
        <w:rPr>
          <w:rFonts w:ascii="Arial" w:hAnsi="Arial" w:cs="Arial"/>
          <w:i/>
          <w:sz w:val="20"/>
          <w:szCs w:val="20"/>
        </w:rPr>
      </w:pPr>
    </w:p>
    <w:p w14:paraId="39B6DF38"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389FC7C1" w14:textId="77777777" w:rsidR="007D1E76" w:rsidRPr="00E74967" w:rsidRDefault="007D1E76" w:rsidP="007D1E76">
      <w:pPr>
        <w:spacing w:after="0" w:line="240" w:lineRule="auto"/>
        <w:jc w:val="both"/>
        <w:rPr>
          <w:rFonts w:cs="Calibri"/>
        </w:rPr>
      </w:pPr>
    </w:p>
    <w:p w14:paraId="64BF173F"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d)</w:t>
      </w:r>
      <w:r w:rsidRPr="00C2014E">
        <w:rPr>
          <w:rFonts w:cs="Calibri"/>
          <w:color w:val="2E74B5" w:themeColor="accent1" w:themeShade="BF"/>
        </w:rPr>
        <w:t xml:space="preserve"> Rie</w:t>
      </w:r>
      <w:r w:rsidR="001973A2" w:rsidRPr="00C2014E">
        <w:rPr>
          <w:rFonts w:cs="Calibri"/>
          <w:color w:val="2E74B5" w:themeColor="accent1" w:themeShade="BF"/>
        </w:rPr>
        <w:t>s</w:t>
      </w:r>
      <w:r w:rsidRPr="00C2014E">
        <w:rPr>
          <w:rFonts w:cs="Calibri"/>
          <w:color w:val="2E74B5" w:themeColor="accent1" w:themeShade="BF"/>
        </w:rPr>
        <w:t>gos por tipo de cambio o tipo de interés de las inversiones financieras:</w:t>
      </w:r>
    </w:p>
    <w:p w14:paraId="379E3100"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FBE34AB" w14:textId="77777777" w:rsidR="00814F31" w:rsidRPr="00E74967" w:rsidRDefault="00814F31" w:rsidP="00C2014E">
      <w:pPr>
        <w:spacing w:after="0" w:line="240" w:lineRule="auto"/>
        <w:jc w:val="both"/>
        <w:rPr>
          <w:rFonts w:cs="Calibri"/>
        </w:rPr>
      </w:pPr>
    </w:p>
    <w:p w14:paraId="114D8167"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lastRenderedPageBreak/>
        <w:t xml:space="preserve">e) </w:t>
      </w:r>
      <w:r w:rsidRPr="00C2014E">
        <w:rPr>
          <w:rFonts w:cs="Calibri"/>
          <w:color w:val="2E74B5" w:themeColor="accent1" w:themeShade="BF"/>
        </w:rPr>
        <w:t>Valor activado en el ejercicio de los bienes construidos por la entidad:</w:t>
      </w:r>
    </w:p>
    <w:p w14:paraId="6D5CD237" w14:textId="77777777" w:rsidR="00C2014E" w:rsidRDefault="00C2014E" w:rsidP="00C2014E">
      <w:pPr>
        <w:spacing w:after="0" w:line="240" w:lineRule="auto"/>
        <w:jc w:val="both"/>
        <w:rPr>
          <w:rFonts w:ascii="Arial" w:hAnsi="Arial" w:cs="Arial"/>
          <w:i/>
          <w:sz w:val="20"/>
          <w:szCs w:val="20"/>
        </w:rPr>
      </w:pPr>
    </w:p>
    <w:p w14:paraId="4ACA95AE"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2E17CB0A" w14:textId="77777777" w:rsidR="007D1E76" w:rsidRPr="00E74967" w:rsidRDefault="007D1E76" w:rsidP="007D1E76">
      <w:pPr>
        <w:spacing w:after="0" w:line="240" w:lineRule="auto"/>
        <w:jc w:val="both"/>
        <w:rPr>
          <w:rFonts w:cs="Calibri"/>
          <w:b/>
        </w:rPr>
      </w:pPr>
    </w:p>
    <w:p w14:paraId="61D4FD0C"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f)</w:t>
      </w:r>
      <w:r w:rsidRPr="00C2014E">
        <w:rPr>
          <w:rFonts w:cs="Calibri"/>
          <w:color w:val="2E74B5" w:themeColor="accent1" w:themeShade="BF"/>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2C37E141" w14:textId="77777777" w:rsidR="00C2014E" w:rsidRDefault="00C2014E" w:rsidP="00C2014E">
      <w:pPr>
        <w:spacing w:after="0" w:line="240" w:lineRule="auto"/>
        <w:jc w:val="both"/>
        <w:rPr>
          <w:rFonts w:ascii="Arial" w:hAnsi="Arial" w:cs="Arial"/>
          <w:i/>
          <w:sz w:val="20"/>
          <w:szCs w:val="20"/>
        </w:rPr>
      </w:pPr>
    </w:p>
    <w:p w14:paraId="58DD1564"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76C957D2" w14:textId="77777777" w:rsidR="00C2014E" w:rsidRDefault="00C2014E" w:rsidP="007D1E76">
      <w:pPr>
        <w:spacing w:after="0" w:line="240" w:lineRule="auto"/>
        <w:jc w:val="both"/>
        <w:rPr>
          <w:rFonts w:cs="Calibri"/>
          <w:b/>
        </w:rPr>
      </w:pPr>
    </w:p>
    <w:p w14:paraId="5B1593C0"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g)</w:t>
      </w:r>
      <w:r w:rsidRPr="00C2014E">
        <w:rPr>
          <w:rFonts w:cs="Calibri"/>
          <w:color w:val="2E74B5" w:themeColor="accent1" w:themeShade="BF"/>
        </w:rPr>
        <w:t xml:space="preserve"> Desmantelamiento de Activos, procedimientos, implicaciones, efectos contables:</w:t>
      </w:r>
    </w:p>
    <w:p w14:paraId="662E1D1B" w14:textId="77777777" w:rsidR="00C2014E" w:rsidRDefault="00C2014E" w:rsidP="00C2014E">
      <w:pPr>
        <w:spacing w:after="0" w:line="240" w:lineRule="auto"/>
        <w:jc w:val="both"/>
        <w:rPr>
          <w:rFonts w:ascii="Arial" w:hAnsi="Arial" w:cs="Arial"/>
          <w:i/>
          <w:sz w:val="20"/>
          <w:szCs w:val="20"/>
        </w:rPr>
      </w:pPr>
    </w:p>
    <w:p w14:paraId="348A8DB9"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46AC9102" w14:textId="77777777" w:rsidR="007D1E76" w:rsidRPr="00E74967" w:rsidRDefault="007D1E76" w:rsidP="007D1E76">
      <w:pPr>
        <w:spacing w:after="0" w:line="240" w:lineRule="auto"/>
        <w:jc w:val="both"/>
        <w:rPr>
          <w:rFonts w:cs="Calibri"/>
        </w:rPr>
      </w:pPr>
    </w:p>
    <w:p w14:paraId="6543D74F"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h)</w:t>
      </w:r>
      <w:r w:rsidRPr="00C2014E">
        <w:rPr>
          <w:rFonts w:cs="Calibri"/>
          <w:color w:val="2E74B5" w:themeColor="accent1" w:themeShade="BF"/>
        </w:rPr>
        <w:t xml:space="preserve"> Administración de activos; planeación con el objetivo de que el ente los utilice de manera más efectiva:</w:t>
      </w:r>
    </w:p>
    <w:p w14:paraId="47E26763" w14:textId="77777777" w:rsidR="00C2014E" w:rsidRDefault="00C2014E" w:rsidP="007D1E76">
      <w:pPr>
        <w:spacing w:after="0" w:line="240" w:lineRule="auto"/>
        <w:jc w:val="both"/>
        <w:rPr>
          <w:rFonts w:ascii="Arial" w:hAnsi="Arial" w:cs="Arial"/>
          <w:sz w:val="20"/>
          <w:szCs w:val="20"/>
        </w:rPr>
      </w:pPr>
    </w:p>
    <w:p w14:paraId="1F344FA6" w14:textId="3EF7AC38" w:rsidR="007D1E76" w:rsidRDefault="00C2014E" w:rsidP="00C2014E">
      <w:pPr>
        <w:pStyle w:val="Prrafodelista"/>
        <w:numPr>
          <w:ilvl w:val="0"/>
          <w:numId w:val="5"/>
        </w:numPr>
        <w:spacing w:after="0" w:line="240" w:lineRule="auto"/>
        <w:jc w:val="both"/>
        <w:rPr>
          <w:rFonts w:ascii="Arial" w:hAnsi="Arial" w:cs="Arial"/>
          <w:i/>
          <w:sz w:val="20"/>
          <w:szCs w:val="20"/>
        </w:rPr>
      </w:pPr>
      <w:r w:rsidRPr="00C2014E">
        <w:rPr>
          <w:rFonts w:ascii="Arial" w:hAnsi="Arial" w:cs="Arial"/>
          <w:i/>
          <w:sz w:val="20"/>
          <w:szCs w:val="20"/>
        </w:rPr>
        <w:t xml:space="preserve">Todos los ingresos que obtenga el </w:t>
      </w:r>
      <w:r w:rsidRPr="00C2014E">
        <w:rPr>
          <w:rFonts w:ascii="Arial" w:hAnsi="Arial" w:cs="Arial"/>
          <w:b/>
          <w:i/>
          <w:sz w:val="20"/>
          <w:szCs w:val="20"/>
        </w:rPr>
        <w:t>S.A.P.A.R.</w:t>
      </w:r>
      <w:r w:rsidRPr="00C2014E">
        <w:rPr>
          <w:rFonts w:ascii="Arial" w:hAnsi="Arial" w:cs="Arial"/>
          <w:i/>
          <w:sz w:val="20"/>
          <w:szCs w:val="20"/>
        </w:rPr>
        <w:t xml:space="preserve"> con motivo de la contratación de los derechos, cuotas, tarifas, recargos o multas, que cobre o los que se adquieran por cualquier motivo, serán destinados exclusivamente al pago de los gastos de administración, operación, mantenimiento, rehabilitación y ampliación del servicio de agua potable, drenaje, alcantarillado, saneamiento, tratamiento, disposición de aguas residuales, y </w:t>
      </w:r>
      <w:proofErr w:type="spellStart"/>
      <w:r w:rsidRPr="00C2014E">
        <w:rPr>
          <w:rFonts w:ascii="Arial" w:hAnsi="Arial" w:cs="Arial"/>
          <w:i/>
          <w:sz w:val="20"/>
          <w:szCs w:val="20"/>
        </w:rPr>
        <w:t>reuso</w:t>
      </w:r>
      <w:proofErr w:type="spellEnd"/>
      <w:r w:rsidRPr="00C2014E">
        <w:rPr>
          <w:rFonts w:ascii="Arial" w:hAnsi="Arial" w:cs="Arial"/>
          <w:i/>
          <w:sz w:val="20"/>
          <w:szCs w:val="20"/>
        </w:rPr>
        <w:t>, así como para la adquisición de instalaciones e infraestructuras propias para la prestación de los servicios.</w:t>
      </w:r>
    </w:p>
    <w:p w14:paraId="7E24E72A" w14:textId="091F1BA1" w:rsidR="00C2014E" w:rsidRPr="00C2014E" w:rsidRDefault="00C2014E" w:rsidP="00C2014E">
      <w:pPr>
        <w:pStyle w:val="Textoindependiente"/>
        <w:numPr>
          <w:ilvl w:val="0"/>
          <w:numId w:val="5"/>
        </w:numPr>
        <w:rPr>
          <w:rFonts w:ascii="Arial" w:hAnsi="Arial" w:cs="Arial"/>
          <w:i/>
          <w:sz w:val="20"/>
          <w:szCs w:val="20"/>
        </w:rPr>
      </w:pPr>
      <w:r w:rsidRPr="00C2014E">
        <w:rPr>
          <w:rFonts w:ascii="Arial" w:hAnsi="Arial" w:cs="Arial"/>
          <w:i/>
          <w:sz w:val="20"/>
          <w:szCs w:val="20"/>
        </w:rPr>
        <w:t xml:space="preserve">El Ayuntamiento, con las facultades fiscalizadoras al patrimonio del </w:t>
      </w:r>
      <w:r w:rsidRPr="00C2014E">
        <w:rPr>
          <w:rFonts w:ascii="Arial" w:hAnsi="Arial" w:cs="Arial"/>
          <w:b/>
          <w:i/>
          <w:sz w:val="20"/>
          <w:szCs w:val="20"/>
        </w:rPr>
        <w:t>S.A.P.A.R.</w:t>
      </w:r>
      <w:r w:rsidRPr="00C2014E">
        <w:rPr>
          <w:rFonts w:ascii="Arial" w:hAnsi="Arial" w:cs="Arial"/>
          <w:i/>
          <w:sz w:val="20"/>
          <w:szCs w:val="20"/>
        </w:rPr>
        <w:t xml:space="preserve"> podrá ordenar en cualquier mom</w:t>
      </w:r>
      <w:r w:rsidR="00050239">
        <w:rPr>
          <w:rFonts w:ascii="Arial" w:hAnsi="Arial" w:cs="Arial"/>
          <w:i/>
          <w:sz w:val="20"/>
          <w:szCs w:val="20"/>
        </w:rPr>
        <w:t>ento, la realización de auditorí</w:t>
      </w:r>
      <w:r w:rsidRPr="00C2014E">
        <w:rPr>
          <w:rFonts w:ascii="Arial" w:hAnsi="Arial" w:cs="Arial"/>
          <w:i/>
          <w:sz w:val="20"/>
          <w:szCs w:val="20"/>
        </w:rPr>
        <w:t xml:space="preserve">as al </w:t>
      </w:r>
      <w:r w:rsidRPr="00C2014E">
        <w:rPr>
          <w:rFonts w:ascii="Arial" w:hAnsi="Arial" w:cs="Arial"/>
          <w:b/>
          <w:i/>
          <w:sz w:val="20"/>
          <w:szCs w:val="20"/>
        </w:rPr>
        <w:t>S.A.P.A.R.</w:t>
      </w:r>
      <w:r w:rsidRPr="00C2014E">
        <w:rPr>
          <w:rFonts w:ascii="Arial" w:hAnsi="Arial" w:cs="Arial"/>
          <w:i/>
          <w:sz w:val="20"/>
          <w:szCs w:val="20"/>
        </w:rPr>
        <w:t>, así como la inspección de los sistemas de cómputo, inventarios y cualquier otro documento que obre en poder del mismo, lo cual podrá realizarse por conducto de la persona o dependencia que para tal efecto se designe.</w:t>
      </w:r>
    </w:p>
    <w:p w14:paraId="34E04F66" w14:textId="77777777" w:rsidR="007D1E76" w:rsidRPr="00E74967" w:rsidRDefault="007D1E76" w:rsidP="007D1E76">
      <w:pPr>
        <w:spacing w:after="0" w:line="240" w:lineRule="auto"/>
        <w:jc w:val="both"/>
        <w:rPr>
          <w:rFonts w:cs="Calibri"/>
        </w:rPr>
      </w:pPr>
    </w:p>
    <w:p w14:paraId="1C52C975"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a)</w:t>
      </w:r>
      <w:r w:rsidRPr="00050239">
        <w:rPr>
          <w:rFonts w:cs="Calibri"/>
          <w:color w:val="2E74B5" w:themeColor="accent1" w:themeShade="BF"/>
        </w:rPr>
        <w:t xml:space="preserve"> Inversiones en valores:</w:t>
      </w:r>
    </w:p>
    <w:p w14:paraId="03D6A73D" w14:textId="77777777" w:rsidR="00050239" w:rsidRDefault="00050239" w:rsidP="00050239">
      <w:pPr>
        <w:spacing w:after="0" w:line="240" w:lineRule="auto"/>
        <w:jc w:val="both"/>
        <w:rPr>
          <w:rFonts w:ascii="Arial" w:hAnsi="Arial" w:cs="Arial"/>
          <w:i/>
          <w:sz w:val="20"/>
          <w:szCs w:val="20"/>
        </w:rPr>
      </w:pPr>
    </w:p>
    <w:p w14:paraId="426BB75E"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47FAE4D3" w14:textId="77777777" w:rsidR="007D1E76" w:rsidRPr="00E74967" w:rsidRDefault="007D1E76" w:rsidP="007D1E76">
      <w:pPr>
        <w:spacing w:after="0" w:line="240" w:lineRule="auto"/>
        <w:jc w:val="both"/>
        <w:rPr>
          <w:rFonts w:cs="Calibri"/>
        </w:rPr>
      </w:pPr>
    </w:p>
    <w:p w14:paraId="7F294F69"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b)</w:t>
      </w:r>
      <w:r w:rsidRPr="00050239">
        <w:rPr>
          <w:rFonts w:cs="Calibri"/>
          <w:color w:val="2E74B5" w:themeColor="accent1" w:themeShade="BF"/>
        </w:rPr>
        <w:t xml:space="preserve"> Patrimonio de Organismos descentralizados de Control Presupuestario Indirecto:</w:t>
      </w:r>
    </w:p>
    <w:p w14:paraId="2295C178" w14:textId="77777777" w:rsidR="00050239" w:rsidRDefault="00050239" w:rsidP="00050239">
      <w:pPr>
        <w:spacing w:after="0" w:line="240" w:lineRule="auto"/>
        <w:jc w:val="both"/>
        <w:rPr>
          <w:rFonts w:ascii="Arial" w:hAnsi="Arial" w:cs="Arial"/>
          <w:i/>
          <w:sz w:val="20"/>
          <w:szCs w:val="20"/>
        </w:rPr>
      </w:pPr>
    </w:p>
    <w:p w14:paraId="39665DBA"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7F76C39C" w14:textId="77777777" w:rsidR="007D1E76" w:rsidRPr="00E74967" w:rsidRDefault="007D1E76" w:rsidP="007D1E76">
      <w:pPr>
        <w:spacing w:after="0" w:line="240" w:lineRule="auto"/>
        <w:jc w:val="both"/>
        <w:rPr>
          <w:rFonts w:cs="Calibri"/>
        </w:rPr>
      </w:pPr>
    </w:p>
    <w:p w14:paraId="0A3B41EB"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c)</w:t>
      </w:r>
      <w:r w:rsidRPr="00050239">
        <w:rPr>
          <w:rFonts w:cs="Calibri"/>
          <w:color w:val="2E74B5" w:themeColor="accent1" w:themeShade="BF"/>
        </w:rPr>
        <w:t xml:space="preserve"> Inversiones en empresas de participación mayoritaria:</w:t>
      </w:r>
    </w:p>
    <w:p w14:paraId="57536E05" w14:textId="77777777" w:rsidR="00050239" w:rsidRDefault="00050239" w:rsidP="00050239">
      <w:pPr>
        <w:spacing w:after="0" w:line="240" w:lineRule="auto"/>
        <w:jc w:val="both"/>
        <w:rPr>
          <w:rFonts w:ascii="Arial" w:hAnsi="Arial" w:cs="Arial"/>
          <w:i/>
          <w:sz w:val="20"/>
          <w:szCs w:val="20"/>
        </w:rPr>
      </w:pPr>
    </w:p>
    <w:p w14:paraId="27267479"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F9218F7" w14:textId="77777777" w:rsidR="007D1E76" w:rsidRPr="00E74967" w:rsidRDefault="007D1E76" w:rsidP="007D1E76">
      <w:pPr>
        <w:spacing w:after="0" w:line="240" w:lineRule="auto"/>
        <w:jc w:val="both"/>
        <w:rPr>
          <w:rFonts w:cs="Calibri"/>
        </w:rPr>
      </w:pPr>
    </w:p>
    <w:p w14:paraId="02D4B80A"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d)</w:t>
      </w:r>
      <w:r w:rsidRPr="00050239">
        <w:rPr>
          <w:rFonts w:cs="Calibri"/>
          <w:color w:val="2E74B5" w:themeColor="accent1" w:themeShade="BF"/>
        </w:rPr>
        <w:t xml:space="preserve"> Inversiones en empresas de participación minoritaria:</w:t>
      </w:r>
    </w:p>
    <w:p w14:paraId="63D4BBBA" w14:textId="77777777" w:rsidR="00050239" w:rsidRDefault="00050239" w:rsidP="00050239">
      <w:pPr>
        <w:spacing w:after="0" w:line="240" w:lineRule="auto"/>
        <w:jc w:val="both"/>
        <w:rPr>
          <w:rFonts w:ascii="Arial" w:hAnsi="Arial" w:cs="Arial"/>
          <w:i/>
          <w:sz w:val="20"/>
          <w:szCs w:val="20"/>
        </w:rPr>
      </w:pPr>
    </w:p>
    <w:p w14:paraId="094F1FE0"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199F0C37" w14:textId="77777777" w:rsidR="007D1E76" w:rsidRPr="00E74967" w:rsidRDefault="007D1E76" w:rsidP="007D1E76">
      <w:pPr>
        <w:spacing w:after="0" w:line="240" w:lineRule="auto"/>
        <w:jc w:val="both"/>
        <w:rPr>
          <w:rFonts w:cs="Calibri"/>
        </w:rPr>
      </w:pPr>
    </w:p>
    <w:p w14:paraId="05A46BBB"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e)</w:t>
      </w:r>
      <w:r w:rsidRPr="00050239">
        <w:rPr>
          <w:rFonts w:cs="Calibri"/>
          <w:color w:val="2E74B5" w:themeColor="accent1" w:themeShade="BF"/>
        </w:rPr>
        <w:t xml:space="preserve"> Patrimonio de organismos descentralizados de control presupuestario directo, según corresponda:</w:t>
      </w:r>
    </w:p>
    <w:p w14:paraId="38268B0D" w14:textId="77777777" w:rsidR="00050239" w:rsidRDefault="00050239" w:rsidP="00050239">
      <w:pPr>
        <w:spacing w:after="0" w:line="240" w:lineRule="auto"/>
        <w:jc w:val="both"/>
        <w:rPr>
          <w:rFonts w:ascii="Arial" w:hAnsi="Arial" w:cs="Arial"/>
          <w:i/>
          <w:sz w:val="20"/>
          <w:szCs w:val="20"/>
        </w:rPr>
      </w:pPr>
    </w:p>
    <w:p w14:paraId="3B8686A7"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6C3B8CD" w14:textId="77777777" w:rsidR="007D1E76" w:rsidRPr="00E74967" w:rsidRDefault="007D1E76" w:rsidP="007D1E76">
      <w:pPr>
        <w:spacing w:after="0" w:line="240" w:lineRule="auto"/>
        <w:jc w:val="both"/>
        <w:rPr>
          <w:rFonts w:cs="Calibri"/>
        </w:rPr>
      </w:pPr>
    </w:p>
    <w:p w14:paraId="2D957F4B" w14:textId="77777777" w:rsidR="007D1E76" w:rsidRPr="00050239" w:rsidRDefault="007D1E76" w:rsidP="007D1E76">
      <w:pPr>
        <w:spacing w:after="0" w:line="240" w:lineRule="auto"/>
        <w:jc w:val="both"/>
        <w:rPr>
          <w:rFonts w:cs="Calibri"/>
          <w:b/>
          <w:color w:val="C00000"/>
        </w:rPr>
      </w:pPr>
      <w:r w:rsidRPr="00050239">
        <w:rPr>
          <w:rFonts w:cs="Calibri"/>
          <w:b/>
          <w:color w:val="C00000"/>
        </w:rPr>
        <w:t>9. Fidei</w:t>
      </w:r>
      <w:r w:rsidR="005E231E" w:rsidRPr="00050239">
        <w:rPr>
          <w:rFonts w:cs="Calibri"/>
          <w:b/>
          <w:color w:val="C00000"/>
        </w:rPr>
        <w:t>comisos, Mandatos y Análogos:</w:t>
      </w:r>
    </w:p>
    <w:p w14:paraId="5B412C86" w14:textId="77777777" w:rsidR="007D1E76" w:rsidRPr="00E74967" w:rsidRDefault="007D1E76" w:rsidP="007D1E76">
      <w:pPr>
        <w:spacing w:after="0" w:line="240" w:lineRule="auto"/>
        <w:jc w:val="both"/>
        <w:rPr>
          <w:rFonts w:cs="Calibri"/>
        </w:rPr>
      </w:pPr>
    </w:p>
    <w:p w14:paraId="6E55E712" w14:textId="77777777" w:rsidR="007D1E76" w:rsidRPr="00050239" w:rsidRDefault="007D1E76" w:rsidP="007D1E76">
      <w:pPr>
        <w:spacing w:after="0" w:line="240" w:lineRule="auto"/>
        <w:jc w:val="both"/>
        <w:rPr>
          <w:rFonts w:cs="Calibri"/>
          <w:color w:val="2E74B5" w:themeColor="accent1" w:themeShade="BF"/>
        </w:rPr>
      </w:pPr>
      <w:r w:rsidRPr="00050239">
        <w:rPr>
          <w:rFonts w:cs="Calibri"/>
          <w:color w:val="2E74B5" w:themeColor="accent1" w:themeShade="BF"/>
        </w:rPr>
        <w:t>Se deberá informar:</w:t>
      </w:r>
    </w:p>
    <w:p w14:paraId="708E87EF" w14:textId="77777777" w:rsidR="007D1E76" w:rsidRPr="00050239" w:rsidRDefault="007D1E76" w:rsidP="007D1E76">
      <w:pPr>
        <w:spacing w:after="0" w:line="240" w:lineRule="auto"/>
        <w:jc w:val="both"/>
        <w:rPr>
          <w:rFonts w:cs="Calibri"/>
          <w:color w:val="2E74B5" w:themeColor="accent1" w:themeShade="BF"/>
        </w:rPr>
      </w:pPr>
    </w:p>
    <w:p w14:paraId="2701D955"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a)</w:t>
      </w:r>
      <w:r w:rsidRPr="00050239">
        <w:rPr>
          <w:rFonts w:cs="Calibri"/>
          <w:color w:val="2E74B5" w:themeColor="accent1" w:themeShade="BF"/>
        </w:rPr>
        <w:t xml:space="preserve"> Por ramo administrativo que los reporta:</w:t>
      </w:r>
    </w:p>
    <w:p w14:paraId="6027CB0B" w14:textId="77777777" w:rsidR="00050239" w:rsidRDefault="00050239" w:rsidP="00050239">
      <w:pPr>
        <w:spacing w:after="0" w:line="240" w:lineRule="auto"/>
        <w:jc w:val="both"/>
        <w:rPr>
          <w:rFonts w:ascii="Arial" w:hAnsi="Arial" w:cs="Arial"/>
          <w:i/>
          <w:sz w:val="20"/>
          <w:szCs w:val="20"/>
        </w:rPr>
      </w:pPr>
    </w:p>
    <w:p w14:paraId="32E889F0"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lastRenderedPageBreak/>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71A553AA" w14:textId="77777777" w:rsidR="00050239" w:rsidRDefault="00050239" w:rsidP="007D1E76">
      <w:pPr>
        <w:spacing w:after="0" w:line="240" w:lineRule="auto"/>
        <w:jc w:val="both"/>
        <w:rPr>
          <w:rFonts w:cs="Calibri"/>
          <w:b/>
        </w:rPr>
      </w:pPr>
    </w:p>
    <w:p w14:paraId="326C2254" w14:textId="77777777" w:rsidR="007D1E76" w:rsidRPr="00660707" w:rsidRDefault="007D1E76" w:rsidP="007D1E76">
      <w:pPr>
        <w:spacing w:after="0" w:line="240" w:lineRule="auto"/>
        <w:jc w:val="both"/>
        <w:rPr>
          <w:rFonts w:cs="Calibri"/>
          <w:color w:val="2E74B5" w:themeColor="accent1" w:themeShade="BF"/>
        </w:rPr>
      </w:pPr>
      <w:r w:rsidRPr="00660707">
        <w:rPr>
          <w:rFonts w:cs="Calibri"/>
          <w:b/>
          <w:color w:val="2E74B5" w:themeColor="accent1" w:themeShade="BF"/>
        </w:rPr>
        <w:t>b)</w:t>
      </w:r>
      <w:r w:rsidRPr="00660707">
        <w:rPr>
          <w:rFonts w:cs="Calibri"/>
          <w:color w:val="2E74B5" w:themeColor="accent1" w:themeShade="BF"/>
        </w:rPr>
        <w:t xml:space="preserve"> Enlistar los de mayor monto de disponibilidad, relacionando aquéllos que conforman el 80% de las disponibilidades:</w:t>
      </w:r>
    </w:p>
    <w:p w14:paraId="5DC6C6E0" w14:textId="77777777" w:rsidR="00660707" w:rsidRDefault="00660707" w:rsidP="007D1E76">
      <w:pPr>
        <w:spacing w:after="0" w:line="240" w:lineRule="auto"/>
        <w:jc w:val="both"/>
        <w:rPr>
          <w:rFonts w:ascii="Arial" w:hAnsi="Arial" w:cs="Arial"/>
          <w:i/>
          <w:sz w:val="20"/>
          <w:szCs w:val="20"/>
        </w:rPr>
      </w:pPr>
    </w:p>
    <w:p w14:paraId="1E008ACA"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AE57259" w14:textId="77777777" w:rsidR="007D1E76" w:rsidRPr="00E74967" w:rsidRDefault="007D1E76" w:rsidP="007D1E76">
      <w:pPr>
        <w:spacing w:after="0" w:line="240" w:lineRule="auto"/>
        <w:jc w:val="both"/>
        <w:rPr>
          <w:rFonts w:cs="Calibri"/>
        </w:rPr>
      </w:pPr>
    </w:p>
    <w:p w14:paraId="221044FA" w14:textId="6532E57D" w:rsidR="00160139" w:rsidRPr="00660707" w:rsidRDefault="007D1E76" w:rsidP="007D1E76">
      <w:pPr>
        <w:spacing w:after="0" w:line="240" w:lineRule="auto"/>
        <w:jc w:val="both"/>
        <w:rPr>
          <w:rFonts w:cs="Calibri"/>
          <w:b/>
          <w:color w:val="C00000"/>
        </w:rPr>
      </w:pPr>
      <w:r w:rsidRPr="00660707">
        <w:rPr>
          <w:rFonts w:cs="Calibri"/>
          <w:b/>
          <w:color w:val="C00000"/>
        </w:rPr>
        <w:t>10. Reporte de la Recaudación:</w:t>
      </w:r>
    </w:p>
    <w:p w14:paraId="2B90D2EC" w14:textId="77777777" w:rsidR="007D1E76" w:rsidRPr="00E74967" w:rsidRDefault="007D1E76" w:rsidP="007D1E76">
      <w:pPr>
        <w:spacing w:after="0" w:line="240" w:lineRule="auto"/>
        <w:jc w:val="both"/>
        <w:rPr>
          <w:rFonts w:cs="Calibri"/>
        </w:rPr>
      </w:pPr>
    </w:p>
    <w:p w14:paraId="6DF860FA" w14:textId="77777777" w:rsidR="007D1E76" w:rsidRPr="00660707" w:rsidRDefault="007D1E76" w:rsidP="007D1E76">
      <w:pPr>
        <w:spacing w:after="0" w:line="240" w:lineRule="auto"/>
        <w:jc w:val="both"/>
        <w:rPr>
          <w:rFonts w:cs="Calibri"/>
          <w:color w:val="2E74B5" w:themeColor="accent1" w:themeShade="BF"/>
        </w:rPr>
      </w:pPr>
      <w:r w:rsidRPr="00660707">
        <w:rPr>
          <w:rFonts w:cs="Calibri"/>
          <w:b/>
          <w:color w:val="2E74B5" w:themeColor="accent1" w:themeShade="BF"/>
        </w:rPr>
        <w:t>a)</w:t>
      </w:r>
      <w:r w:rsidRPr="00660707">
        <w:rPr>
          <w:rFonts w:cs="Calibri"/>
          <w:color w:val="2E74B5" w:themeColor="accent1" w:themeShade="BF"/>
        </w:rPr>
        <w:t xml:space="preserve"> Análisis del comportamiento de la recaudación correspondiente al ente público o cualquier tipo de ingreso, de forma separada los ingresos locales de los federales:</w:t>
      </w:r>
    </w:p>
    <w:p w14:paraId="6CAD4E54"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1973A2" w:rsidRPr="001973A2">
        <w:rPr>
          <w:rFonts w:cs="Calibri"/>
        </w:rPr>
        <w:t>_________________________</w:t>
      </w:r>
    </w:p>
    <w:p w14:paraId="4FA2E1ED" w14:textId="77777777" w:rsidR="007D1E76" w:rsidRPr="00E74967" w:rsidRDefault="007D1E76" w:rsidP="007D1E76">
      <w:pPr>
        <w:spacing w:after="0" w:line="240" w:lineRule="auto"/>
        <w:jc w:val="both"/>
        <w:rPr>
          <w:rFonts w:cs="Calibri"/>
        </w:rPr>
      </w:pPr>
    </w:p>
    <w:p w14:paraId="36C23337" w14:textId="77777777" w:rsidR="007D1E76" w:rsidRPr="00814F31" w:rsidRDefault="007D1E76" w:rsidP="007D1E76">
      <w:pPr>
        <w:spacing w:after="0" w:line="240" w:lineRule="auto"/>
        <w:jc w:val="both"/>
        <w:rPr>
          <w:rFonts w:cs="Calibri"/>
          <w:color w:val="2E74B5" w:themeColor="accent1" w:themeShade="BF"/>
        </w:rPr>
      </w:pPr>
      <w:r w:rsidRPr="00814F31">
        <w:rPr>
          <w:rFonts w:cs="Calibri"/>
          <w:b/>
          <w:color w:val="2E74B5" w:themeColor="accent1" w:themeShade="BF"/>
        </w:rPr>
        <w:t>b)</w:t>
      </w:r>
      <w:r w:rsidRPr="00814F31">
        <w:rPr>
          <w:rFonts w:cs="Calibri"/>
          <w:color w:val="2E74B5" w:themeColor="accent1" w:themeShade="BF"/>
        </w:rPr>
        <w:t xml:space="preserve"> Proyección de la recaudación e ingresos en el mediano plazo:</w:t>
      </w:r>
    </w:p>
    <w:p w14:paraId="533390F5"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1973A2" w:rsidRPr="001973A2">
        <w:rPr>
          <w:rFonts w:cs="Calibri"/>
        </w:rPr>
        <w:t>_________________________</w:t>
      </w:r>
    </w:p>
    <w:p w14:paraId="7C4CE7E2" w14:textId="77777777" w:rsidR="007D1E76" w:rsidRPr="00E74967" w:rsidRDefault="007D1E76" w:rsidP="007D1E76">
      <w:pPr>
        <w:spacing w:after="0" w:line="240" w:lineRule="auto"/>
        <w:jc w:val="both"/>
        <w:rPr>
          <w:rFonts w:cs="Calibri"/>
        </w:rPr>
      </w:pPr>
    </w:p>
    <w:p w14:paraId="2D68C3FC" w14:textId="77777777" w:rsidR="007D1E76" w:rsidRPr="00814F31" w:rsidRDefault="007D1E76" w:rsidP="007D1E76">
      <w:pPr>
        <w:spacing w:after="0" w:line="240" w:lineRule="auto"/>
        <w:jc w:val="both"/>
        <w:rPr>
          <w:rFonts w:cs="Calibri"/>
          <w:b/>
          <w:color w:val="C00000"/>
        </w:rPr>
      </w:pPr>
      <w:r w:rsidRPr="00814F31">
        <w:rPr>
          <w:rFonts w:cs="Calibri"/>
          <w:b/>
          <w:color w:val="C00000"/>
        </w:rPr>
        <w:t>11. Información sobre la Deuda y el R</w:t>
      </w:r>
      <w:r w:rsidR="005E231E" w:rsidRPr="00814F31">
        <w:rPr>
          <w:rFonts w:cs="Calibri"/>
          <w:b/>
          <w:color w:val="C00000"/>
        </w:rPr>
        <w:t>eporte Analítico de la Deuda:</w:t>
      </w:r>
    </w:p>
    <w:p w14:paraId="27337031" w14:textId="77777777" w:rsidR="007D1E76" w:rsidRPr="00814F31" w:rsidRDefault="007D1E76" w:rsidP="007D1E76">
      <w:pPr>
        <w:spacing w:after="0" w:line="240" w:lineRule="auto"/>
        <w:jc w:val="both"/>
        <w:rPr>
          <w:rFonts w:cs="Calibri"/>
          <w:color w:val="C00000"/>
        </w:rPr>
      </w:pPr>
    </w:p>
    <w:p w14:paraId="7B63D2E0" w14:textId="77777777" w:rsidR="007D1E76" w:rsidRPr="00814F31" w:rsidRDefault="007D1E76" w:rsidP="007D1E76">
      <w:pPr>
        <w:spacing w:after="0" w:line="240" w:lineRule="auto"/>
        <w:jc w:val="both"/>
        <w:rPr>
          <w:rFonts w:cs="Calibri"/>
          <w:color w:val="2E74B5" w:themeColor="accent1" w:themeShade="BF"/>
        </w:rPr>
      </w:pPr>
      <w:r w:rsidRPr="00814F31">
        <w:rPr>
          <w:rFonts w:cs="Calibri"/>
          <w:b/>
          <w:color w:val="2E74B5" w:themeColor="accent1" w:themeShade="BF"/>
        </w:rPr>
        <w:t>a)</w:t>
      </w:r>
      <w:r w:rsidRPr="00814F31">
        <w:rPr>
          <w:rFonts w:cs="Calibri"/>
          <w:color w:val="2E74B5" w:themeColor="accent1" w:themeShade="BF"/>
        </w:rPr>
        <w:t xml:space="preserve"> Utilizar al menos los siguientes indicadores: deuda respecto al PIB y deuda respecto a la recaudación tomando, como mínimo, un período igual o menor a 5 años.</w:t>
      </w:r>
    </w:p>
    <w:p w14:paraId="49F2BD65" w14:textId="77777777" w:rsidR="00814F31" w:rsidRDefault="00814F31" w:rsidP="00814F31">
      <w:pPr>
        <w:spacing w:after="0" w:line="240" w:lineRule="auto"/>
        <w:jc w:val="both"/>
        <w:rPr>
          <w:rFonts w:ascii="Arial" w:hAnsi="Arial" w:cs="Arial"/>
          <w:i/>
          <w:sz w:val="20"/>
          <w:szCs w:val="20"/>
        </w:rPr>
      </w:pPr>
    </w:p>
    <w:p w14:paraId="15D92F9E"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3F9DDBBA" w14:textId="77777777" w:rsidR="007D1E76" w:rsidRPr="00E74967" w:rsidRDefault="007D1E76" w:rsidP="007D1E76">
      <w:pPr>
        <w:spacing w:after="0" w:line="240" w:lineRule="auto"/>
        <w:jc w:val="both"/>
        <w:rPr>
          <w:rFonts w:cs="Calibri"/>
        </w:rPr>
      </w:pPr>
    </w:p>
    <w:p w14:paraId="26034E41" w14:textId="77777777" w:rsidR="007D1E76" w:rsidRPr="00814F31" w:rsidRDefault="007D1E76" w:rsidP="007D1E76">
      <w:pPr>
        <w:spacing w:after="0" w:line="240" w:lineRule="auto"/>
        <w:jc w:val="both"/>
        <w:rPr>
          <w:rFonts w:cs="Calibri"/>
          <w:color w:val="2E74B5" w:themeColor="accent1" w:themeShade="BF"/>
        </w:rPr>
      </w:pPr>
      <w:r w:rsidRPr="00814F31">
        <w:rPr>
          <w:rFonts w:cs="Calibri"/>
          <w:b/>
          <w:color w:val="2E74B5" w:themeColor="accent1" w:themeShade="BF"/>
        </w:rPr>
        <w:t>b)</w:t>
      </w:r>
      <w:r w:rsidRPr="00814F31">
        <w:rPr>
          <w:rFonts w:cs="Calibri"/>
          <w:color w:val="2E74B5" w:themeColor="accent1" w:themeShade="BF"/>
        </w:rPr>
        <w:t xml:space="preserve"> Información de manera agrupada por tipo de valor gubernamental o instrumento financiero en la que se considere</w:t>
      </w:r>
      <w:r w:rsidR="001973A2" w:rsidRPr="00814F31">
        <w:rPr>
          <w:rFonts w:cs="Calibri"/>
          <w:color w:val="2E74B5" w:themeColor="accent1" w:themeShade="BF"/>
        </w:rPr>
        <w:t>n</w:t>
      </w:r>
      <w:r w:rsidRPr="00814F31">
        <w:rPr>
          <w:rFonts w:cs="Calibri"/>
          <w:color w:val="2E74B5" w:themeColor="accent1" w:themeShade="BF"/>
        </w:rPr>
        <w:t xml:space="preserve"> intereses, comisiones, tasa, perfil de vencimiento y otros gastos de la deuda.</w:t>
      </w:r>
    </w:p>
    <w:p w14:paraId="67DDEBBA" w14:textId="77777777" w:rsidR="007D1E76" w:rsidRPr="00814F31" w:rsidRDefault="007D1E76" w:rsidP="007D1E76">
      <w:pPr>
        <w:spacing w:after="0" w:line="240" w:lineRule="auto"/>
        <w:jc w:val="both"/>
        <w:rPr>
          <w:rFonts w:cs="Calibri"/>
          <w:color w:val="2E74B5" w:themeColor="accent1" w:themeShade="BF"/>
        </w:rPr>
      </w:pPr>
      <w:r w:rsidRPr="00814F31">
        <w:rPr>
          <w:rFonts w:cs="Calibri"/>
          <w:color w:val="2E74B5" w:themeColor="accent1" w:themeShade="BF"/>
        </w:rPr>
        <w:t>* Se anexara la informació</w:t>
      </w:r>
      <w:r w:rsidR="005E231E" w:rsidRPr="00814F31">
        <w:rPr>
          <w:rFonts w:cs="Calibri"/>
          <w:color w:val="2E74B5" w:themeColor="accent1" w:themeShade="BF"/>
        </w:rPr>
        <w:t>n en las notas de desglose.</w:t>
      </w:r>
    </w:p>
    <w:p w14:paraId="47A92FC9" w14:textId="77777777" w:rsidR="007D1E76" w:rsidRPr="00E74967" w:rsidRDefault="007D1E76" w:rsidP="007D1E76">
      <w:pPr>
        <w:spacing w:after="0" w:line="240" w:lineRule="auto"/>
        <w:jc w:val="both"/>
        <w:rPr>
          <w:rFonts w:cs="Calibri"/>
        </w:rPr>
      </w:pPr>
    </w:p>
    <w:p w14:paraId="480477C5"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409B1D78" w14:textId="77777777" w:rsidR="007D1E76" w:rsidRPr="00E74967" w:rsidRDefault="007D1E76" w:rsidP="007D1E76">
      <w:pPr>
        <w:spacing w:after="0" w:line="240" w:lineRule="auto"/>
        <w:jc w:val="both"/>
        <w:rPr>
          <w:rFonts w:cs="Calibri"/>
        </w:rPr>
      </w:pPr>
    </w:p>
    <w:p w14:paraId="19C64A34" w14:textId="77777777" w:rsidR="007D1E76" w:rsidRPr="00814F31" w:rsidRDefault="007D1E76" w:rsidP="007D1E76">
      <w:pPr>
        <w:spacing w:after="0" w:line="240" w:lineRule="auto"/>
        <w:jc w:val="both"/>
        <w:rPr>
          <w:rFonts w:cs="Calibri"/>
          <w:b/>
          <w:color w:val="C00000"/>
        </w:rPr>
      </w:pPr>
      <w:r w:rsidRPr="00814F31">
        <w:rPr>
          <w:rFonts w:cs="Calibri"/>
          <w:b/>
          <w:color w:val="C00000"/>
        </w:rPr>
        <w:t>12.</w:t>
      </w:r>
      <w:r w:rsidR="005E231E" w:rsidRPr="00814F31">
        <w:rPr>
          <w:rFonts w:cs="Calibri"/>
          <w:b/>
          <w:color w:val="C00000"/>
        </w:rPr>
        <w:t xml:space="preserve"> Calificaciones otorgadas:</w:t>
      </w:r>
    </w:p>
    <w:p w14:paraId="67197CE9" w14:textId="77777777" w:rsidR="007D1E76" w:rsidRPr="00E74967" w:rsidRDefault="007D1E76" w:rsidP="007D1E76">
      <w:pPr>
        <w:spacing w:after="0" w:line="240" w:lineRule="auto"/>
        <w:jc w:val="both"/>
        <w:rPr>
          <w:rFonts w:cs="Calibri"/>
        </w:rPr>
      </w:pPr>
    </w:p>
    <w:p w14:paraId="57D9F68C" w14:textId="77777777" w:rsidR="007D1E76" w:rsidRPr="00814F31" w:rsidRDefault="007D1E76" w:rsidP="007D1E76">
      <w:pPr>
        <w:spacing w:after="0" w:line="240" w:lineRule="auto"/>
        <w:jc w:val="both"/>
        <w:rPr>
          <w:rFonts w:cs="Calibri"/>
          <w:color w:val="2E74B5" w:themeColor="accent1" w:themeShade="BF"/>
        </w:rPr>
      </w:pPr>
      <w:r w:rsidRPr="00814F31">
        <w:rPr>
          <w:rFonts w:cs="Calibri"/>
          <w:color w:val="2E74B5" w:themeColor="accent1" w:themeShade="BF"/>
        </w:rPr>
        <w:t>Informar, tanto del ente público como cualquier transacción realizada, que haya sido sujeta a una calificación crediticia:</w:t>
      </w:r>
    </w:p>
    <w:p w14:paraId="452D6795" w14:textId="77777777" w:rsidR="00340171" w:rsidRDefault="00340171" w:rsidP="00340171">
      <w:pPr>
        <w:spacing w:after="0" w:line="240" w:lineRule="auto"/>
        <w:jc w:val="both"/>
        <w:rPr>
          <w:rFonts w:ascii="Arial" w:hAnsi="Arial" w:cs="Arial"/>
          <w:i/>
          <w:sz w:val="20"/>
          <w:szCs w:val="20"/>
        </w:rPr>
      </w:pPr>
    </w:p>
    <w:p w14:paraId="6E73A352"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6B02EAB0" w14:textId="77777777" w:rsidR="007D1E76" w:rsidRPr="00E74967" w:rsidRDefault="007D1E76" w:rsidP="007D1E76">
      <w:pPr>
        <w:spacing w:after="0" w:line="240" w:lineRule="auto"/>
        <w:jc w:val="both"/>
        <w:rPr>
          <w:rFonts w:cs="Calibri"/>
        </w:rPr>
      </w:pPr>
    </w:p>
    <w:p w14:paraId="69F25506" w14:textId="77777777" w:rsidR="007D1E76" w:rsidRPr="00E74967" w:rsidRDefault="007D1E76" w:rsidP="007D1E76">
      <w:pPr>
        <w:spacing w:after="0" w:line="240" w:lineRule="auto"/>
        <w:jc w:val="both"/>
        <w:rPr>
          <w:rFonts w:cs="Calibri"/>
        </w:rPr>
      </w:pPr>
    </w:p>
    <w:p w14:paraId="10B4C763" w14:textId="77777777" w:rsidR="007D1E76" w:rsidRPr="00814F31" w:rsidRDefault="007D1E76" w:rsidP="007D1E76">
      <w:pPr>
        <w:spacing w:after="0" w:line="240" w:lineRule="auto"/>
        <w:jc w:val="both"/>
        <w:rPr>
          <w:rFonts w:cs="Calibri"/>
          <w:b/>
          <w:color w:val="C00000"/>
        </w:rPr>
      </w:pPr>
      <w:r w:rsidRPr="00814F31">
        <w:rPr>
          <w:rFonts w:cs="Calibri"/>
          <w:b/>
          <w:color w:val="C00000"/>
        </w:rPr>
        <w:t>13. Proceso de Mejora:</w:t>
      </w:r>
    </w:p>
    <w:p w14:paraId="0251CC47" w14:textId="77777777" w:rsidR="007D1E76" w:rsidRPr="00814F31" w:rsidRDefault="007D1E76" w:rsidP="007D1E76">
      <w:pPr>
        <w:spacing w:after="0" w:line="240" w:lineRule="auto"/>
        <w:jc w:val="both"/>
        <w:rPr>
          <w:rFonts w:cs="Calibri"/>
          <w:color w:val="C00000"/>
        </w:rPr>
      </w:pPr>
    </w:p>
    <w:p w14:paraId="171672D2" w14:textId="77777777" w:rsidR="007D1E76" w:rsidRPr="00814F31" w:rsidRDefault="007D1E76" w:rsidP="007D1E76">
      <w:pPr>
        <w:spacing w:after="0" w:line="240" w:lineRule="auto"/>
        <w:jc w:val="both"/>
        <w:rPr>
          <w:rFonts w:cs="Calibri"/>
          <w:color w:val="2E74B5" w:themeColor="accent1" w:themeShade="BF"/>
        </w:rPr>
      </w:pPr>
      <w:r w:rsidRPr="00814F31">
        <w:rPr>
          <w:rFonts w:cs="Calibri"/>
          <w:color w:val="2E74B5" w:themeColor="accent1" w:themeShade="BF"/>
        </w:rPr>
        <w:t>Se informará de:</w:t>
      </w:r>
    </w:p>
    <w:p w14:paraId="533FB084" w14:textId="77777777" w:rsidR="007D1E76" w:rsidRPr="00814F31" w:rsidRDefault="007D1E76" w:rsidP="007D1E76">
      <w:pPr>
        <w:spacing w:after="0" w:line="240" w:lineRule="auto"/>
        <w:jc w:val="both"/>
        <w:rPr>
          <w:rFonts w:cs="Calibri"/>
          <w:color w:val="2E74B5" w:themeColor="accent1" w:themeShade="BF"/>
        </w:rPr>
      </w:pPr>
    </w:p>
    <w:p w14:paraId="4D639AB5" w14:textId="77777777" w:rsidR="007D1E76" w:rsidRPr="00814F31" w:rsidRDefault="007D1E76" w:rsidP="007D1E76">
      <w:pPr>
        <w:spacing w:after="0" w:line="240" w:lineRule="auto"/>
        <w:jc w:val="both"/>
        <w:rPr>
          <w:rFonts w:cs="Calibri"/>
          <w:color w:val="2E74B5" w:themeColor="accent1" w:themeShade="BF"/>
        </w:rPr>
      </w:pPr>
      <w:r w:rsidRPr="00814F31">
        <w:rPr>
          <w:rFonts w:cs="Calibri"/>
          <w:b/>
          <w:color w:val="2E74B5" w:themeColor="accent1" w:themeShade="BF"/>
        </w:rPr>
        <w:t>a)</w:t>
      </w:r>
      <w:r w:rsidRPr="00814F31">
        <w:rPr>
          <w:rFonts w:cs="Calibri"/>
          <w:color w:val="2E74B5" w:themeColor="accent1" w:themeShade="BF"/>
        </w:rPr>
        <w:t xml:space="preserve"> Principales Políticas de control interno:</w:t>
      </w:r>
    </w:p>
    <w:p w14:paraId="2BAF468A" w14:textId="7667910E" w:rsidR="00340171" w:rsidRPr="00340171" w:rsidRDefault="00340171" w:rsidP="00340171">
      <w:pPr>
        <w:pStyle w:val="Prrafodelista"/>
        <w:numPr>
          <w:ilvl w:val="0"/>
          <w:numId w:val="6"/>
        </w:numPr>
        <w:spacing w:after="0" w:line="240" w:lineRule="auto"/>
        <w:jc w:val="both"/>
        <w:rPr>
          <w:rFonts w:ascii="Arial" w:hAnsi="Arial" w:cs="Arial"/>
          <w:sz w:val="20"/>
          <w:szCs w:val="20"/>
        </w:rPr>
      </w:pPr>
      <w:r w:rsidRPr="00340171">
        <w:rPr>
          <w:rFonts w:ascii="Arial" w:hAnsi="Arial" w:cs="Arial"/>
          <w:sz w:val="20"/>
          <w:szCs w:val="20"/>
        </w:rPr>
        <w:t>Formular  y mantener actualizada la cartera de usuarios morosos en el pago d sus créditos.</w:t>
      </w:r>
    </w:p>
    <w:p w14:paraId="199E706F" w14:textId="4FC0E2C2" w:rsidR="00340171" w:rsidRDefault="00340171"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Promover y e</w:t>
      </w:r>
      <w:r w:rsidRPr="00340171">
        <w:rPr>
          <w:rFonts w:ascii="Arial" w:hAnsi="Arial" w:cs="Arial"/>
          <w:sz w:val="20"/>
          <w:szCs w:val="20"/>
        </w:rPr>
        <w:t>n su caso, llevar a cabo la capacitación y actualización del personal que labore en el Organismo Operador</w:t>
      </w:r>
    </w:p>
    <w:p w14:paraId="35C81D78" w14:textId="48B0ECBE" w:rsidR="00340171" w:rsidRDefault="00340171"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Proteger el equilibrio ecológico, la calidad del agua, sanidad de los depó</w:t>
      </w:r>
      <w:r w:rsidR="00502313">
        <w:rPr>
          <w:rFonts w:ascii="Arial" w:hAnsi="Arial" w:cs="Arial"/>
          <w:sz w:val="20"/>
          <w:szCs w:val="20"/>
        </w:rPr>
        <w:t>sitos naturales, manantiales, c</w:t>
      </w:r>
      <w:r>
        <w:rPr>
          <w:rFonts w:ascii="Arial" w:hAnsi="Arial" w:cs="Arial"/>
          <w:sz w:val="20"/>
          <w:szCs w:val="20"/>
        </w:rPr>
        <w:t>a</w:t>
      </w:r>
      <w:r w:rsidR="00502313">
        <w:rPr>
          <w:rFonts w:ascii="Arial" w:hAnsi="Arial" w:cs="Arial"/>
          <w:sz w:val="20"/>
          <w:szCs w:val="20"/>
        </w:rPr>
        <w:t>u</w:t>
      </w:r>
      <w:r>
        <w:rPr>
          <w:rFonts w:ascii="Arial" w:hAnsi="Arial" w:cs="Arial"/>
          <w:sz w:val="20"/>
          <w:szCs w:val="20"/>
        </w:rPr>
        <w:t>ces de agua, presas y represas baja el dominio del Municipio.</w:t>
      </w:r>
    </w:p>
    <w:p w14:paraId="23E471D7" w14:textId="40BD0813" w:rsidR="00340171" w:rsidRDefault="00340171"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lastRenderedPageBreak/>
        <w:t>Proyectar, ejecutar y supervisa</w:t>
      </w:r>
      <w:r w:rsidR="00502313">
        <w:rPr>
          <w:rFonts w:ascii="Arial" w:hAnsi="Arial" w:cs="Arial"/>
          <w:sz w:val="20"/>
          <w:szCs w:val="20"/>
        </w:rPr>
        <w:t>r las obras necesarias para controlar los encharcamientos e inundaciones así como prever los hundimientos y movimientos de suelos, cuando estos sean de origen hidráulico.</w:t>
      </w:r>
    </w:p>
    <w:p w14:paraId="64C6FBF6" w14:textId="7E87005F" w:rsidR="00502313" w:rsidRDefault="00502313"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Aplicar las normas técnicas y ecológicas que expidan las autoridades correspondientes, para regular las descargas del sistema de alcantarillado y drenaje del Municipio.</w:t>
      </w:r>
    </w:p>
    <w:p w14:paraId="13A6BC00" w14:textId="6E06DFEC" w:rsidR="00502313" w:rsidRDefault="00502313"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Implantar y operar sistemas de tratamiento de aguas residuales de conformidad con las normas técnicas ecológicas aplicables.</w:t>
      </w:r>
    </w:p>
    <w:p w14:paraId="7162954F" w14:textId="3AF049D9" w:rsidR="00502313" w:rsidRDefault="00502313"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Llevar los registros contables que permitan evaluar el equilibrio de los ingresos con los costos derivados de la operación, el mantenimiento y la administración de los servicios, la rehabilitación y el mejoramiento de la infraestructura existente, la amortización de las inversiones realizadas, los gastos financieros de los pasivos y las inversiones necesarias para la expansión de la infraestructura.</w:t>
      </w:r>
    </w:p>
    <w:p w14:paraId="23C0EA7C" w14:textId="6C189016" w:rsidR="00502313" w:rsidRPr="00340171" w:rsidRDefault="00502313"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Evaluar en forma periódica y sistemática la situación que presentan los programas a su cargo de acuerdo a los objetivos y prioridades establecidos y aplicar las medidas tendientes a corregir las desviaciones detectadas.</w:t>
      </w:r>
    </w:p>
    <w:p w14:paraId="1BD51D41" w14:textId="77777777" w:rsidR="007D1E76" w:rsidRPr="00E74967" w:rsidRDefault="007D1E76" w:rsidP="007D1E76">
      <w:pPr>
        <w:spacing w:after="0" w:line="240" w:lineRule="auto"/>
        <w:jc w:val="both"/>
        <w:rPr>
          <w:rFonts w:cs="Calibri"/>
        </w:rPr>
      </w:pPr>
    </w:p>
    <w:p w14:paraId="59CFF4B2" w14:textId="77777777" w:rsidR="007D1E76" w:rsidRPr="00814F31" w:rsidRDefault="007D1E76" w:rsidP="007D1E76">
      <w:pPr>
        <w:spacing w:after="0" w:line="240" w:lineRule="auto"/>
        <w:jc w:val="both"/>
        <w:rPr>
          <w:rFonts w:cs="Calibri"/>
          <w:color w:val="2E74B5" w:themeColor="accent1" w:themeShade="BF"/>
        </w:rPr>
      </w:pPr>
      <w:r w:rsidRPr="00814F31">
        <w:rPr>
          <w:rFonts w:cs="Calibri"/>
          <w:b/>
          <w:color w:val="2E74B5" w:themeColor="accent1" w:themeShade="BF"/>
        </w:rPr>
        <w:t>b)</w:t>
      </w:r>
      <w:r w:rsidRPr="00814F31">
        <w:rPr>
          <w:rFonts w:cs="Calibri"/>
          <w:color w:val="2E74B5" w:themeColor="accent1" w:themeShade="BF"/>
        </w:rPr>
        <w:t xml:space="preserve"> Medidas de desempeño financiero, metas y alcance:</w:t>
      </w:r>
    </w:p>
    <w:p w14:paraId="19EB2AD8"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73A2" w:rsidRPr="001973A2">
        <w:rPr>
          <w:rFonts w:cs="Calibri"/>
        </w:rPr>
        <w:t>__________________________________________________</w:t>
      </w:r>
      <w:r w:rsidR="001973A2">
        <w:rPr>
          <w:rFonts w:cs="Calibri"/>
        </w:rPr>
        <w:t>__________</w:t>
      </w:r>
    </w:p>
    <w:p w14:paraId="6DD757EA" w14:textId="77777777" w:rsidR="007D1E76" w:rsidRPr="00E74967" w:rsidRDefault="007D1E76" w:rsidP="007D1E76">
      <w:pPr>
        <w:spacing w:after="0" w:line="240" w:lineRule="auto"/>
        <w:jc w:val="both"/>
        <w:rPr>
          <w:rFonts w:cs="Calibri"/>
        </w:rPr>
      </w:pPr>
    </w:p>
    <w:p w14:paraId="795495BA" w14:textId="77777777" w:rsidR="007D1E76" w:rsidRPr="00E74967" w:rsidRDefault="007D1E76" w:rsidP="007D1E76">
      <w:pPr>
        <w:spacing w:after="0" w:line="240" w:lineRule="auto"/>
        <w:jc w:val="both"/>
        <w:rPr>
          <w:rFonts w:cs="Calibri"/>
        </w:rPr>
      </w:pPr>
    </w:p>
    <w:p w14:paraId="3D010C2A" w14:textId="77777777" w:rsidR="007D1E76" w:rsidRPr="00814F31" w:rsidRDefault="007D1E76" w:rsidP="007D1E76">
      <w:pPr>
        <w:spacing w:after="0" w:line="240" w:lineRule="auto"/>
        <w:jc w:val="both"/>
        <w:rPr>
          <w:rFonts w:cs="Calibri"/>
          <w:b/>
          <w:color w:val="C00000"/>
        </w:rPr>
      </w:pPr>
      <w:r w:rsidRPr="00814F31">
        <w:rPr>
          <w:rFonts w:cs="Calibri"/>
          <w:b/>
          <w:color w:val="C00000"/>
        </w:rPr>
        <w:t>1</w:t>
      </w:r>
      <w:r w:rsidR="005E231E" w:rsidRPr="00814F31">
        <w:rPr>
          <w:rFonts w:cs="Calibri"/>
          <w:b/>
          <w:color w:val="C00000"/>
        </w:rPr>
        <w:t>4. Información por Segmentos:</w:t>
      </w:r>
    </w:p>
    <w:p w14:paraId="6C3C6A04" w14:textId="77777777" w:rsidR="007D1E76" w:rsidRPr="00E74967" w:rsidRDefault="007D1E76" w:rsidP="007D1E76">
      <w:pPr>
        <w:spacing w:after="0" w:line="240" w:lineRule="auto"/>
        <w:jc w:val="both"/>
        <w:rPr>
          <w:rFonts w:cs="Calibri"/>
        </w:rPr>
      </w:pPr>
    </w:p>
    <w:p w14:paraId="64BC1596" w14:textId="77777777" w:rsidR="007D1E76" w:rsidRPr="00E74967" w:rsidRDefault="007D1E76" w:rsidP="007D1E76">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7D1E76">
      <w:pPr>
        <w:spacing w:after="0" w:line="240" w:lineRule="auto"/>
        <w:jc w:val="both"/>
        <w:rPr>
          <w:rFonts w:cs="Calibri"/>
        </w:rPr>
      </w:pPr>
    </w:p>
    <w:p w14:paraId="54078A60" w14:textId="77777777" w:rsidR="007D1E76" w:rsidRPr="00E74967" w:rsidRDefault="007D1E76" w:rsidP="007D1E76">
      <w:pPr>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7D1E76">
      <w:pPr>
        <w:spacing w:after="0" w:line="240" w:lineRule="auto"/>
        <w:jc w:val="both"/>
        <w:rPr>
          <w:rFonts w:cs="Calibri"/>
        </w:rPr>
      </w:pPr>
    </w:p>
    <w:p w14:paraId="03BBF660" w14:textId="77777777" w:rsidR="007D1E76" w:rsidRPr="00E74967" w:rsidRDefault="007D1E76" w:rsidP="007D1E76">
      <w:pPr>
        <w:spacing w:after="0" w:line="240" w:lineRule="auto"/>
        <w:jc w:val="both"/>
        <w:rPr>
          <w:rFonts w:cs="Calibri"/>
        </w:rPr>
      </w:pPr>
    </w:p>
    <w:p w14:paraId="5CE772DA" w14:textId="77777777" w:rsidR="007D1E76" w:rsidRPr="00E33A6F" w:rsidRDefault="007D1E76" w:rsidP="007D1E76">
      <w:pPr>
        <w:spacing w:after="0" w:line="240" w:lineRule="auto"/>
        <w:jc w:val="both"/>
        <w:rPr>
          <w:rFonts w:cs="Calibri"/>
          <w:b/>
          <w:color w:val="C00000"/>
        </w:rPr>
      </w:pPr>
      <w:r w:rsidRPr="00E33A6F">
        <w:rPr>
          <w:rFonts w:cs="Calibri"/>
          <w:b/>
          <w:color w:val="C00000"/>
        </w:rPr>
        <w:t>15. E</w:t>
      </w:r>
      <w:r w:rsidR="005E231E" w:rsidRPr="00E33A6F">
        <w:rPr>
          <w:rFonts w:cs="Calibri"/>
          <w:b/>
          <w:color w:val="C00000"/>
        </w:rPr>
        <w:t>ventos Posteriores al Cierre:</w:t>
      </w:r>
    </w:p>
    <w:p w14:paraId="362DF4F4" w14:textId="77777777" w:rsidR="007D1E76" w:rsidRPr="00E74967" w:rsidRDefault="007D1E76" w:rsidP="007D1E76">
      <w:pPr>
        <w:spacing w:after="0" w:line="240" w:lineRule="auto"/>
        <w:jc w:val="both"/>
        <w:rPr>
          <w:rFonts w:cs="Calibri"/>
        </w:rPr>
      </w:pPr>
    </w:p>
    <w:p w14:paraId="1C1B13BA" w14:textId="77777777" w:rsidR="007D1E76" w:rsidRPr="00E74967" w:rsidRDefault="007D1E76" w:rsidP="007D1E76">
      <w:pPr>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7D1E76">
      <w:pPr>
        <w:spacing w:after="0" w:line="240" w:lineRule="auto"/>
        <w:jc w:val="both"/>
        <w:rPr>
          <w:rFonts w:cs="Calibri"/>
        </w:rPr>
      </w:pPr>
    </w:p>
    <w:p w14:paraId="3CC9AECC" w14:textId="77777777" w:rsidR="007D1E76" w:rsidRPr="00E33A6F" w:rsidRDefault="005E231E" w:rsidP="007D1E76">
      <w:pPr>
        <w:spacing w:after="0" w:line="240" w:lineRule="auto"/>
        <w:jc w:val="both"/>
        <w:rPr>
          <w:rFonts w:cs="Calibri"/>
          <w:b/>
          <w:color w:val="C00000"/>
        </w:rPr>
      </w:pPr>
      <w:r w:rsidRPr="00E33A6F">
        <w:rPr>
          <w:rFonts w:cs="Calibri"/>
          <w:b/>
          <w:color w:val="C00000"/>
        </w:rPr>
        <w:t>16. Partes Relacionadas:</w:t>
      </w:r>
    </w:p>
    <w:p w14:paraId="20438A33" w14:textId="77777777" w:rsidR="007D1E76" w:rsidRPr="00E74967" w:rsidRDefault="007D1E76" w:rsidP="007D1E76">
      <w:pPr>
        <w:spacing w:after="0" w:line="240" w:lineRule="auto"/>
        <w:jc w:val="both"/>
        <w:rPr>
          <w:rFonts w:cs="Calibri"/>
        </w:rPr>
      </w:pPr>
    </w:p>
    <w:p w14:paraId="5A1981F2" w14:textId="77777777" w:rsidR="007D1E76" w:rsidRPr="00E74967" w:rsidRDefault="007D1E76" w:rsidP="007D1E76">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7777777" w:rsidR="007D1E76" w:rsidRPr="00E74967" w:rsidRDefault="007D1E76" w:rsidP="007D1E76">
      <w:pPr>
        <w:spacing w:after="0" w:line="240" w:lineRule="auto"/>
        <w:jc w:val="both"/>
        <w:rPr>
          <w:rFonts w:cs="Calibri"/>
        </w:rPr>
      </w:pPr>
      <w:r w:rsidRPr="00E74967">
        <w:rPr>
          <w:rFonts w:cs="Calibri"/>
        </w:rPr>
        <w:lastRenderedPageBreak/>
        <w:t>__________________________________________________________________________________________________________________________________________________________________________________________________________________________________________</w:t>
      </w:r>
      <w:r w:rsidR="001973A2" w:rsidRPr="001973A2">
        <w:rPr>
          <w:rFonts w:cs="Calibri"/>
        </w:rPr>
        <w:t>_________________________</w:t>
      </w:r>
    </w:p>
    <w:p w14:paraId="17CEED12" w14:textId="77777777" w:rsidR="007D1E76" w:rsidRPr="00E74967" w:rsidRDefault="007D1E76" w:rsidP="007D1E76">
      <w:pPr>
        <w:spacing w:after="0" w:line="240" w:lineRule="auto"/>
        <w:jc w:val="both"/>
        <w:rPr>
          <w:rFonts w:cs="Calibri"/>
        </w:rPr>
      </w:pPr>
    </w:p>
    <w:p w14:paraId="78699B1C" w14:textId="77777777" w:rsidR="007D1E76" w:rsidRPr="00E74967" w:rsidRDefault="007D1E76" w:rsidP="007D1E76">
      <w:pPr>
        <w:spacing w:after="0" w:line="240" w:lineRule="auto"/>
        <w:jc w:val="both"/>
        <w:rPr>
          <w:rFonts w:cs="Calibri"/>
        </w:rPr>
      </w:pPr>
    </w:p>
    <w:p w14:paraId="06707DA2" w14:textId="77777777" w:rsidR="007D1E76" w:rsidRPr="00E33A6F" w:rsidRDefault="007D1E76" w:rsidP="007D1E76">
      <w:pPr>
        <w:spacing w:after="0" w:line="240" w:lineRule="auto"/>
        <w:jc w:val="both"/>
        <w:rPr>
          <w:rFonts w:cs="Calibri"/>
          <w:b/>
          <w:color w:val="C00000"/>
        </w:rPr>
      </w:pPr>
      <w:r w:rsidRPr="00E33A6F">
        <w:rPr>
          <w:rFonts w:cs="Calibri"/>
          <w:b/>
          <w:color w:val="C00000"/>
        </w:rPr>
        <w:t xml:space="preserve">17. </w:t>
      </w:r>
      <w:r w:rsidR="001973A2" w:rsidRPr="00E33A6F">
        <w:rPr>
          <w:rFonts w:cs="Calibri"/>
          <w:b/>
          <w:color w:val="C00000"/>
        </w:rPr>
        <w:t>Responsabilidad Sobre la Presentación Razonable de la Información Contable</w:t>
      </w:r>
      <w:r w:rsidR="005E231E" w:rsidRPr="00E33A6F">
        <w:rPr>
          <w:rFonts w:cs="Calibri"/>
          <w:b/>
          <w:color w:val="C00000"/>
        </w:rPr>
        <w:t>:</w:t>
      </w:r>
    </w:p>
    <w:p w14:paraId="24905817" w14:textId="77777777" w:rsidR="007D1E76" w:rsidRPr="00E74967" w:rsidRDefault="007D1E76" w:rsidP="007D1E76">
      <w:pPr>
        <w:spacing w:after="0" w:line="240" w:lineRule="auto"/>
        <w:jc w:val="both"/>
        <w:rPr>
          <w:rFonts w:cs="Calibri"/>
        </w:rPr>
      </w:pPr>
    </w:p>
    <w:p w14:paraId="50903296" w14:textId="77777777" w:rsidR="007D1E76" w:rsidRPr="00E74967" w:rsidRDefault="001973A2" w:rsidP="007D1E76">
      <w:pPr>
        <w:spacing w:after="0" w:line="240" w:lineRule="auto"/>
        <w:jc w:val="both"/>
        <w:rPr>
          <w:rFonts w:cs="Calibri"/>
        </w:rPr>
      </w:pPr>
      <w:r w:rsidRPr="001973A2">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46F1823A" w14:textId="77777777" w:rsidR="007D1E76" w:rsidRDefault="007D1E76" w:rsidP="007D1E76">
      <w:pPr>
        <w:pBdr>
          <w:bottom w:val="single" w:sz="12" w:space="1" w:color="auto"/>
        </w:pBdr>
        <w:spacing w:after="0" w:line="240" w:lineRule="auto"/>
        <w:jc w:val="both"/>
        <w:rPr>
          <w:rFonts w:cs="Calibri"/>
        </w:rPr>
      </w:pPr>
    </w:p>
    <w:p w14:paraId="3A1DCDD4" w14:textId="77777777" w:rsidR="00AE1F6A" w:rsidRPr="00E74967" w:rsidRDefault="00AE1F6A" w:rsidP="007D1E76">
      <w:pPr>
        <w:pBdr>
          <w:bottom w:val="single" w:sz="12" w:space="1" w:color="auto"/>
        </w:pBdr>
        <w:spacing w:after="0" w:line="240" w:lineRule="auto"/>
        <w:jc w:val="both"/>
        <w:rPr>
          <w:rFonts w:cs="Calibri"/>
        </w:rPr>
      </w:pPr>
    </w:p>
    <w:p w14:paraId="246E00EE" w14:textId="77777777" w:rsidR="001C75F2" w:rsidRPr="00E74967" w:rsidRDefault="001C75F2" w:rsidP="007D1E76">
      <w:pPr>
        <w:spacing w:after="0" w:line="240" w:lineRule="auto"/>
        <w:jc w:val="both"/>
        <w:rPr>
          <w:rFonts w:cs="Calibri"/>
        </w:rPr>
      </w:pPr>
    </w:p>
    <w:p w14:paraId="2B2665CE" w14:textId="211B1582" w:rsidR="007D1E76" w:rsidRDefault="00091CE6" w:rsidP="00AA41E5">
      <w:pPr>
        <w:pStyle w:val="Ttulo"/>
      </w:pPr>
      <w:r w:rsidRPr="00E74967">
        <w:t xml:space="preserve">Nota 1: Las notas de Gestión Administrativa sólo se presentarán en medio digital, </w:t>
      </w:r>
      <w:r>
        <w:t>en impreso son opcional (de acu</w:t>
      </w:r>
      <w:r w:rsidR="00AA41E5">
        <w:t>e</w:t>
      </w:r>
      <w:r>
        <w:t xml:space="preserve">rdo, ver </w:t>
      </w:r>
      <w:r w:rsidR="00AA41E5">
        <w:rPr>
          <w:color w:val="1F4E79" w:themeColor="accent1" w:themeShade="80"/>
        </w:rPr>
        <w:t>Guía</w:t>
      </w:r>
      <w:r w:rsidRPr="00645DBD">
        <w:rPr>
          <w:color w:val="1F4E79" w:themeColor="accent1" w:themeShade="80"/>
        </w:rPr>
        <w:t xml:space="preserve"> para la entrega de la Cuenta Pública e Información Financiera Trimestral</w:t>
      </w:r>
      <w:r>
        <w:t xml:space="preserve">), </w:t>
      </w:r>
      <w:r w:rsidRPr="00E74967">
        <w:t>las notas que no estén contempladas en el formato se agregarán libremente al mismo.</w:t>
      </w:r>
    </w:p>
    <w:p w14:paraId="7B1C6447" w14:textId="2A4F7BEC" w:rsidR="00AE1F6A" w:rsidRDefault="00AE1F6A" w:rsidP="007D1E76">
      <w:pPr>
        <w:jc w:val="both"/>
        <w:rPr>
          <w:rFonts w:cs="Calibri"/>
          <w:b/>
        </w:rPr>
      </w:pPr>
      <w:r>
        <w:rPr>
          <w:rFonts w:cs="Calibri"/>
          <w:b/>
        </w:rPr>
        <w:t xml:space="preserve">Nota 2: </w:t>
      </w:r>
      <w:r w:rsidRPr="00AE1F6A">
        <w:rPr>
          <w:rFonts w:cs="Calibri"/>
          <w:b/>
        </w:rPr>
        <w:t xml:space="preserve">En cada una de las </w:t>
      </w:r>
      <w:r>
        <w:rPr>
          <w:rFonts w:cs="Calibri"/>
          <w:b/>
        </w:rPr>
        <w:t>16</w:t>
      </w:r>
      <w:r w:rsidRPr="00AE1F6A">
        <w:rPr>
          <w:rFonts w:cs="Calibri"/>
          <w:b/>
        </w:rPr>
        <w:t xml:space="preserve"> notas de gestión administrativa el ente público deberá poner la nota correspondiente o en su caso la leyenda “Esta nota no le aplica al ente público” y una breve explicación del motivo por el cual no le es aplicable.</w:t>
      </w:r>
      <w:r w:rsidR="003A24FF">
        <w:rPr>
          <w:rFonts w:cs="Calibri"/>
          <w:b/>
        </w:rPr>
        <w:t xml:space="preserve">   </w:t>
      </w:r>
    </w:p>
    <w:p w14:paraId="0B3FECD6" w14:textId="77777777" w:rsidR="007610BC" w:rsidRDefault="007610BC" w:rsidP="007D1E76">
      <w:pPr>
        <w:jc w:val="both"/>
        <w:rPr>
          <w:rFonts w:cs="Calibri"/>
          <w:b/>
        </w:rPr>
      </w:pPr>
    </w:p>
    <w:p w14:paraId="2E6D76BB" w14:textId="77777777" w:rsidR="007610BC" w:rsidRDefault="007610BC" w:rsidP="007D1E76">
      <w:pPr>
        <w:jc w:val="both"/>
        <w:rPr>
          <w:rFonts w:cs="Calibri"/>
          <w:b/>
        </w:rPr>
      </w:pPr>
    </w:p>
    <w:p w14:paraId="3870A51F" w14:textId="77777777" w:rsidR="007610BC" w:rsidRDefault="007610BC" w:rsidP="007D1E76">
      <w:pPr>
        <w:pBdr>
          <w:bottom w:val="single" w:sz="12" w:space="1" w:color="auto"/>
        </w:pBdr>
        <w:jc w:val="both"/>
        <w:rPr>
          <w:rFonts w:cs="Calibri"/>
          <w:b/>
        </w:rPr>
      </w:pPr>
    </w:p>
    <w:p w14:paraId="547B7126" w14:textId="77777777" w:rsidR="007610BC" w:rsidRPr="007306C6" w:rsidRDefault="007610BC" w:rsidP="007610BC">
      <w:pPr>
        <w:spacing w:after="0" w:line="240" w:lineRule="auto"/>
        <w:jc w:val="both"/>
        <w:rPr>
          <w:rFonts w:cs="Calibri"/>
        </w:rPr>
      </w:pPr>
      <w:r w:rsidRPr="007306C6">
        <w:rPr>
          <w:rFonts w:cs="Calibri"/>
        </w:rPr>
        <w:t xml:space="preserve">De acuerdo al </w:t>
      </w:r>
      <w:r w:rsidRPr="007306C6">
        <w:rPr>
          <w:rFonts w:cs="Calibri"/>
          <w:b/>
        </w:rPr>
        <w:t>artículo 13 fracción VIII</w:t>
      </w:r>
      <w:r w:rsidRPr="007306C6">
        <w:rPr>
          <w:rFonts w:cs="Calibri"/>
        </w:rPr>
        <w:t xml:space="preserve">, de la Ley de Disciplina Financiera de las Entidades Federativas y los Municipios </w:t>
      </w:r>
      <w:r>
        <w:rPr>
          <w:rFonts w:cs="Calibri"/>
          <w:b/>
        </w:rPr>
        <w:t>(LDF), «</w:t>
      </w:r>
      <w:r w:rsidRPr="007306C6">
        <w:rPr>
          <w:rFonts w:cs="Calibri"/>
        </w:rPr>
        <w:t>Una vez concluida la vigencia del Presupuesto de Egresos, sólo procederá realizar pagos con</w:t>
      </w:r>
      <w:r>
        <w:rPr>
          <w:rFonts w:cs="Calibri"/>
        </w:rPr>
        <w:t xml:space="preserve"> </w:t>
      </w:r>
      <w:r w:rsidRPr="007306C6">
        <w:rPr>
          <w:rFonts w:cs="Calibri"/>
        </w:rPr>
        <w:t>base en dicho presupuesto, por los conceptos efectivamente devengados en el año que corresponda y</w:t>
      </w:r>
    </w:p>
    <w:p w14:paraId="1EB0A54F" w14:textId="77777777" w:rsidR="007610BC" w:rsidRPr="007306C6" w:rsidRDefault="007610BC" w:rsidP="007610BC">
      <w:pPr>
        <w:spacing w:after="0" w:line="240" w:lineRule="auto"/>
        <w:jc w:val="both"/>
        <w:rPr>
          <w:rFonts w:cs="Calibri"/>
          <w:b/>
        </w:rPr>
      </w:pPr>
      <w:proofErr w:type="gramStart"/>
      <w:r w:rsidRPr="007306C6">
        <w:rPr>
          <w:rFonts w:cs="Calibri"/>
        </w:rPr>
        <w:t>que</w:t>
      </w:r>
      <w:proofErr w:type="gramEnd"/>
      <w:r w:rsidRPr="007306C6">
        <w:rPr>
          <w:rFonts w:cs="Calibri"/>
        </w:rPr>
        <w:t xml:space="preserve"> se hubieren registrado en el informe de cuentas por pagar y que integran el pasivo circulante al </w:t>
      </w:r>
      <w:r w:rsidRPr="007306C6">
        <w:rPr>
          <w:rFonts w:cs="Calibri"/>
          <w:b/>
        </w:rPr>
        <w:t>cierre</w:t>
      </w:r>
    </w:p>
    <w:p w14:paraId="79C28DC1" w14:textId="77777777" w:rsidR="007610BC" w:rsidRDefault="007610BC" w:rsidP="007610BC">
      <w:pPr>
        <w:spacing w:after="0" w:line="240" w:lineRule="auto"/>
        <w:jc w:val="both"/>
        <w:rPr>
          <w:rFonts w:cs="Calibri"/>
          <w:b/>
        </w:rPr>
      </w:pPr>
      <w:proofErr w:type="gramStart"/>
      <w:r w:rsidRPr="007306C6">
        <w:rPr>
          <w:rFonts w:cs="Calibri"/>
          <w:b/>
        </w:rPr>
        <w:t>del</w:t>
      </w:r>
      <w:proofErr w:type="gramEnd"/>
      <w:r w:rsidRPr="007306C6">
        <w:rPr>
          <w:rFonts w:cs="Calibri"/>
          <w:b/>
        </w:rPr>
        <w:t xml:space="preserve"> ejercicio</w:t>
      </w:r>
      <w:r w:rsidRPr="007306C6">
        <w:rPr>
          <w:rFonts w:cs="Calibri"/>
        </w:rPr>
        <w:t>.</w:t>
      </w:r>
      <w:r>
        <w:rPr>
          <w:rFonts w:cs="Calibri"/>
          <w:b/>
        </w:rPr>
        <w:t>»</w:t>
      </w:r>
    </w:p>
    <w:p w14:paraId="37C51EF3" w14:textId="77777777" w:rsidR="007610BC" w:rsidRDefault="007610BC" w:rsidP="007610BC">
      <w:pPr>
        <w:spacing w:after="0" w:line="240" w:lineRule="auto"/>
        <w:jc w:val="both"/>
        <w:rPr>
          <w:rFonts w:cs="Calibri"/>
        </w:rPr>
      </w:pPr>
    </w:p>
    <w:p w14:paraId="2041113E" w14:textId="77777777" w:rsidR="007610BC" w:rsidRDefault="007610BC" w:rsidP="007610BC">
      <w:pPr>
        <w:spacing w:after="0" w:line="240" w:lineRule="auto"/>
        <w:jc w:val="both"/>
        <w:rPr>
          <w:rFonts w:cs="Calibri"/>
        </w:rPr>
      </w:pPr>
      <w:r>
        <w:rPr>
          <w:rFonts w:cs="Calibri"/>
        </w:rPr>
        <w:t>Propuesta de cedula:</w:t>
      </w:r>
    </w:p>
    <w:p w14:paraId="7B3F3D81" w14:textId="77777777" w:rsidR="007610BC" w:rsidRDefault="007610BC" w:rsidP="007610BC">
      <w:pPr>
        <w:spacing w:after="0" w:line="240" w:lineRule="auto"/>
        <w:jc w:val="both"/>
        <w:rPr>
          <w:rFonts w:cs="Calibri"/>
          <w:b/>
        </w:rPr>
      </w:pPr>
      <w:r w:rsidRPr="007306C6">
        <w:rPr>
          <w:rFonts w:cs="Calibri"/>
          <w:b/>
        </w:rPr>
        <w:lastRenderedPageBreak/>
        <w:t>Devengado que integra el Pasivo circulante al cierre del ejercicio</w:t>
      </w:r>
    </w:p>
    <w:tbl>
      <w:tblPr>
        <w:tblW w:w="9126" w:type="dxa"/>
        <w:tblCellMar>
          <w:left w:w="70" w:type="dxa"/>
          <w:right w:w="70" w:type="dxa"/>
        </w:tblCellMar>
        <w:tblLook w:val="04A0" w:firstRow="1" w:lastRow="0" w:firstColumn="1" w:lastColumn="0" w:noHBand="0" w:noVBand="1"/>
      </w:tblPr>
      <w:tblGrid>
        <w:gridCol w:w="704"/>
        <w:gridCol w:w="4111"/>
        <w:gridCol w:w="709"/>
        <w:gridCol w:w="1134"/>
        <w:gridCol w:w="1275"/>
        <w:gridCol w:w="1193"/>
      </w:tblGrid>
      <w:tr w:rsidR="007610BC" w:rsidRPr="00C36B44" w14:paraId="28E9CF65" w14:textId="77777777" w:rsidTr="00D513DE">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42770BA"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CUENTA</w:t>
            </w:r>
          </w:p>
        </w:tc>
        <w:tc>
          <w:tcPr>
            <w:tcW w:w="4111" w:type="dxa"/>
            <w:tcBorders>
              <w:top w:val="single" w:sz="4" w:space="0" w:color="auto"/>
              <w:left w:val="nil"/>
              <w:bottom w:val="single" w:sz="4" w:space="0" w:color="auto"/>
              <w:right w:val="single" w:sz="4" w:space="0" w:color="auto"/>
            </w:tcBorders>
            <w:shd w:val="clear" w:color="000000" w:fill="92D050"/>
            <w:noWrap/>
            <w:vAlign w:val="center"/>
            <w:hideMark/>
          </w:tcPr>
          <w:p w14:paraId="381C7AF2" w14:textId="77777777" w:rsidR="007610BC" w:rsidRPr="00C36B44" w:rsidRDefault="007610BC" w:rsidP="00D513DE">
            <w:pPr>
              <w:spacing w:after="0" w:line="240" w:lineRule="auto"/>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NOMBRE DE LA CUENTA</w:t>
            </w:r>
          </w:p>
        </w:tc>
        <w:tc>
          <w:tcPr>
            <w:tcW w:w="709" w:type="dxa"/>
            <w:tcBorders>
              <w:top w:val="single" w:sz="4" w:space="0" w:color="auto"/>
              <w:left w:val="nil"/>
              <w:bottom w:val="single" w:sz="4" w:space="0" w:color="auto"/>
              <w:right w:val="single" w:sz="4" w:space="0" w:color="auto"/>
            </w:tcBorders>
            <w:shd w:val="clear" w:color="000000" w:fill="92D050"/>
            <w:noWrap/>
            <w:vAlign w:val="center"/>
            <w:hideMark/>
          </w:tcPr>
          <w:p w14:paraId="37A5548E" w14:textId="77777777" w:rsidR="007610BC" w:rsidRPr="00C36B44" w:rsidRDefault="007610BC" w:rsidP="00D513DE">
            <w:pPr>
              <w:spacing w:after="0" w:line="240" w:lineRule="auto"/>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Capítulo</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14:paraId="5CA99FBB"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Importe</w:t>
            </w:r>
          </w:p>
        </w:tc>
        <w:tc>
          <w:tcPr>
            <w:tcW w:w="1275" w:type="dxa"/>
            <w:tcBorders>
              <w:top w:val="single" w:sz="4" w:space="0" w:color="auto"/>
              <w:left w:val="nil"/>
              <w:bottom w:val="single" w:sz="4" w:space="0" w:color="auto"/>
              <w:right w:val="single" w:sz="4" w:space="0" w:color="auto"/>
            </w:tcBorders>
            <w:shd w:val="clear" w:color="000000" w:fill="92D050"/>
            <w:noWrap/>
            <w:vAlign w:val="center"/>
            <w:hideMark/>
          </w:tcPr>
          <w:p w14:paraId="7261A218"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No Etiquetado</w:t>
            </w:r>
          </w:p>
        </w:tc>
        <w:tc>
          <w:tcPr>
            <w:tcW w:w="1193" w:type="dxa"/>
            <w:tcBorders>
              <w:top w:val="single" w:sz="4" w:space="0" w:color="auto"/>
              <w:left w:val="nil"/>
              <w:bottom w:val="single" w:sz="4" w:space="0" w:color="auto"/>
              <w:right w:val="single" w:sz="4" w:space="0" w:color="auto"/>
            </w:tcBorders>
            <w:shd w:val="clear" w:color="000000" w:fill="92D050"/>
            <w:noWrap/>
            <w:vAlign w:val="center"/>
            <w:hideMark/>
          </w:tcPr>
          <w:p w14:paraId="269478C4"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Etiquetado</w:t>
            </w:r>
          </w:p>
        </w:tc>
      </w:tr>
      <w:tr w:rsidR="007610BC" w:rsidRPr="00C36B44" w14:paraId="31C7DC00"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2CC62784"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p>
        </w:tc>
        <w:tc>
          <w:tcPr>
            <w:tcW w:w="4111" w:type="dxa"/>
            <w:tcBorders>
              <w:top w:val="nil"/>
              <w:left w:val="nil"/>
              <w:bottom w:val="single" w:sz="4" w:space="0" w:color="auto"/>
              <w:right w:val="single" w:sz="4" w:space="0" w:color="auto"/>
            </w:tcBorders>
            <w:shd w:val="clear" w:color="auto" w:fill="auto"/>
            <w:noWrap/>
            <w:hideMark/>
          </w:tcPr>
          <w:p w14:paraId="48E6B3EA"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5591045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34" w:type="dxa"/>
            <w:tcBorders>
              <w:top w:val="nil"/>
              <w:left w:val="nil"/>
              <w:bottom w:val="single" w:sz="4" w:space="0" w:color="auto"/>
              <w:right w:val="single" w:sz="4" w:space="0" w:color="auto"/>
            </w:tcBorders>
            <w:shd w:val="clear" w:color="auto" w:fill="auto"/>
            <w:noWrap/>
            <w:hideMark/>
          </w:tcPr>
          <w:p w14:paraId="3760E39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B06D04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6F6FDEEB"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F18E842"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B4FC4F0"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2111</w:t>
            </w:r>
          </w:p>
        </w:tc>
        <w:tc>
          <w:tcPr>
            <w:tcW w:w="4111" w:type="dxa"/>
            <w:tcBorders>
              <w:top w:val="nil"/>
              <w:left w:val="nil"/>
              <w:bottom w:val="single" w:sz="4" w:space="0" w:color="auto"/>
              <w:right w:val="single" w:sz="4" w:space="0" w:color="auto"/>
            </w:tcBorders>
            <w:shd w:val="clear" w:color="auto" w:fill="auto"/>
            <w:noWrap/>
            <w:hideMark/>
          </w:tcPr>
          <w:p w14:paraId="1E431C55"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Servicios personales por pagar a corto plazo</w:t>
            </w:r>
          </w:p>
        </w:tc>
        <w:tc>
          <w:tcPr>
            <w:tcW w:w="709" w:type="dxa"/>
            <w:tcBorders>
              <w:top w:val="nil"/>
              <w:left w:val="nil"/>
              <w:bottom w:val="single" w:sz="4" w:space="0" w:color="auto"/>
              <w:right w:val="single" w:sz="4" w:space="0" w:color="auto"/>
            </w:tcBorders>
            <w:shd w:val="clear" w:color="auto" w:fill="auto"/>
            <w:noWrap/>
            <w:hideMark/>
          </w:tcPr>
          <w:p w14:paraId="0FA2A6F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1000</w:t>
            </w:r>
          </w:p>
        </w:tc>
        <w:tc>
          <w:tcPr>
            <w:tcW w:w="1134" w:type="dxa"/>
            <w:tcBorders>
              <w:top w:val="nil"/>
              <w:left w:val="nil"/>
              <w:bottom w:val="single" w:sz="4" w:space="0" w:color="auto"/>
              <w:right w:val="single" w:sz="4" w:space="0" w:color="auto"/>
            </w:tcBorders>
            <w:shd w:val="clear" w:color="auto" w:fill="auto"/>
            <w:noWrap/>
            <w:hideMark/>
          </w:tcPr>
          <w:p w14:paraId="6DED4E5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43E43BCC"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25D6DE3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E59FE5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39930FDB"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59D42344"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3A59D85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2000</w:t>
            </w:r>
          </w:p>
        </w:tc>
        <w:tc>
          <w:tcPr>
            <w:tcW w:w="1134" w:type="dxa"/>
            <w:tcBorders>
              <w:top w:val="nil"/>
              <w:left w:val="nil"/>
              <w:bottom w:val="single" w:sz="4" w:space="0" w:color="auto"/>
              <w:right w:val="single" w:sz="4" w:space="0" w:color="auto"/>
            </w:tcBorders>
            <w:shd w:val="clear" w:color="auto" w:fill="auto"/>
            <w:noWrap/>
            <w:hideMark/>
          </w:tcPr>
          <w:p w14:paraId="23CC9BDB"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B83E0C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D52D8F6"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932CA41"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1D7FAA40"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45B30DC6"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01244B7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3000</w:t>
            </w:r>
          </w:p>
        </w:tc>
        <w:tc>
          <w:tcPr>
            <w:tcW w:w="1134" w:type="dxa"/>
            <w:tcBorders>
              <w:top w:val="nil"/>
              <w:left w:val="nil"/>
              <w:bottom w:val="single" w:sz="4" w:space="0" w:color="auto"/>
              <w:right w:val="single" w:sz="4" w:space="0" w:color="auto"/>
            </w:tcBorders>
            <w:shd w:val="clear" w:color="auto" w:fill="auto"/>
            <w:noWrap/>
            <w:hideMark/>
          </w:tcPr>
          <w:p w14:paraId="686EA761"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8182E1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52AC5B2E"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3F8ABB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C85F195"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6991D664"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1ADA9E83"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5000</w:t>
            </w:r>
          </w:p>
        </w:tc>
        <w:tc>
          <w:tcPr>
            <w:tcW w:w="1134" w:type="dxa"/>
            <w:tcBorders>
              <w:top w:val="nil"/>
              <w:left w:val="nil"/>
              <w:bottom w:val="single" w:sz="4" w:space="0" w:color="auto"/>
              <w:right w:val="single" w:sz="4" w:space="0" w:color="auto"/>
            </w:tcBorders>
            <w:shd w:val="clear" w:color="auto" w:fill="auto"/>
            <w:noWrap/>
            <w:hideMark/>
          </w:tcPr>
          <w:p w14:paraId="4FFFB57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FE0B68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AC7F46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1D041ECC"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5E0C5E6"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2113</w:t>
            </w:r>
          </w:p>
        </w:tc>
        <w:tc>
          <w:tcPr>
            <w:tcW w:w="4111" w:type="dxa"/>
            <w:tcBorders>
              <w:top w:val="nil"/>
              <w:left w:val="nil"/>
              <w:bottom w:val="single" w:sz="4" w:space="0" w:color="auto"/>
              <w:right w:val="single" w:sz="4" w:space="0" w:color="auto"/>
            </w:tcBorders>
            <w:shd w:val="clear" w:color="auto" w:fill="auto"/>
            <w:noWrap/>
            <w:hideMark/>
          </w:tcPr>
          <w:p w14:paraId="7B1505C2"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Contratistas por obras públicas por pagar a corto plazo</w:t>
            </w:r>
          </w:p>
        </w:tc>
        <w:tc>
          <w:tcPr>
            <w:tcW w:w="709" w:type="dxa"/>
            <w:tcBorders>
              <w:top w:val="nil"/>
              <w:left w:val="nil"/>
              <w:bottom w:val="single" w:sz="4" w:space="0" w:color="auto"/>
              <w:right w:val="single" w:sz="4" w:space="0" w:color="auto"/>
            </w:tcBorders>
            <w:shd w:val="clear" w:color="auto" w:fill="auto"/>
            <w:noWrap/>
            <w:hideMark/>
          </w:tcPr>
          <w:p w14:paraId="708AD15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6000</w:t>
            </w:r>
          </w:p>
        </w:tc>
        <w:tc>
          <w:tcPr>
            <w:tcW w:w="1134" w:type="dxa"/>
            <w:tcBorders>
              <w:top w:val="nil"/>
              <w:left w:val="nil"/>
              <w:bottom w:val="single" w:sz="4" w:space="0" w:color="auto"/>
              <w:right w:val="single" w:sz="4" w:space="0" w:color="auto"/>
            </w:tcBorders>
            <w:shd w:val="clear" w:color="auto" w:fill="auto"/>
            <w:noWrap/>
            <w:hideMark/>
          </w:tcPr>
          <w:p w14:paraId="188D1BB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86D2F17"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FB48FF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2F904AD8"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21E3BB2"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2114</w:t>
            </w:r>
          </w:p>
        </w:tc>
        <w:tc>
          <w:tcPr>
            <w:tcW w:w="4111" w:type="dxa"/>
            <w:tcBorders>
              <w:top w:val="nil"/>
              <w:left w:val="nil"/>
              <w:bottom w:val="single" w:sz="4" w:space="0" w:color="auto"/>
              <w:right w:val="single" w:sz="4" w:space="0" w:color="auto"/>
            </w:tcBorders>
            <w:shd w:val="clear" w:color="auto" w:fill="auto"/>
            <w:noWrap/>
            <w:hideMark/>
          </w:tcPr>
          <w:p w14:paraId="1CE4EF5D"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Participaciones y aportaciones por pagar a corto plazo</w:t>
            </w:r>
          </w:p>
        </w:tc>
        <w:tc>
          <w:tcPr>
            <w:tcW w:w="709" w:type="dxa"/>
            <w:tcBorders>
              <w:top w:val="nil"/>
              <w:left w:val="nil"/>
              <w:bottom w:val="single" w:sz="4" w:space="0" w:color="auto"/>
              <w:right w:val="single" w:sz="4" w:space="0" w:color="auto"/>
            </w:tcBorders>
            <w:shd w:val="clear" w:color="auto" w:fill="auto"/>
            <w:noWrap/>
            <w:hideMark/>
          </w:tcPr>
          <w:p w14:paraId="15BF722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8000</w:t>
            </w:r>
          </w:p>
        </w:tc>
        <w:tc>
          <w:tcPr>
            <w:tcW w:w="1134" w:type="dxa"/>
            <w:tcBorders>
              <w:top w:val="nil"/>
              <w:left w:val="nil"/>
              <w:bottom w:val="single" w:sz="4" w:space="0" w:color="auto"/>
              <w:right w:val="single" w:sz="4" w:space="0" w:color="auto"/>
            </w:tcBorders>
            <w:shd w:val="clear" w:color="auto" w:fill="auto"/>
            <w:noWrap/>
            <w:hideMark/>
          </w:tcPr>
          <w:p w14:paraId="6C8AA11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D541E7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3F22A7E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0DF71379"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D9418F5"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2115</w:t>
            </w:r>
          </w:p>
        </w:tc>
        <w:tc>
          <w:tcPr>
            <w:tcW w:w="4111" w:type="dxa"/>
            <w:tcBorders>
              <w:top w:val="nil"/>
              <w:left w:val="nil"/>
              <w:bottom w:val="single" w:sz="4" w:space="0" w:color="auto"/>
              <w:right w:val="single" w:sz="4" w:space="0" w:color="auto"/>
            </w:tcBorders>
            <w:shd w:val="clear" w:color="auto" w:fill="auto"/>
            <w:noWrap/>
            <w:hideMark/>
          </w:tcPr>
          <w:p w14:paraId="458E5CB3"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Transferencias otorgadas por pagar a corto plazo</w:t>
            </w:r>
          </w:p>
        </w:tc>
        <w:tc>
          <w:tcPr>
            <w:tcW w:w="709" w:type="dxa"/>
            <w:tcBorders>
              <w:top w:val="nil"/>
              <w:left w:val="nil"/>
              <w:bottom w:val="single" w:sz="4" w:space="0" w:color="auto"/>
              <w:right w:val="single" w:sz="4" w:space="0" w:color="auto"/>
            </w:tcBorders>
            <w:shd w:val="clear" w:color="auto" w:fill="auto"/>
            <w:noWrap/>
            <w:hideMark/>
          </w:tcPr>
          <w:p w14:paraId="018715E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4000</w:t>
            </w:r>
          </w:p>
        </w:tc>
        <w:tc>
          <w:tcPr>
            <w:tcW w:w="1134" w:type="dxa"/>
            <w:tcBorders>
              <w:top w:val="nil"/>
              <w:left w:val="nil"/>
              <w:bottom w:val="single" w:sz="4" w:space="0" w:color="auto"/>
              <w:right w:val="single" w:sz="4" w:space="0" w:color="auto"/>
            </w:tcBorders>
            <w:shd w:val="clear" w:color="auto" w:fill="auto"/>
            <w:noWrap/>
            <w:hideMark/>
          </w:tcPr>
          <w:p w14:paraId="365ED37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6EE46D8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4C4BAB4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639E54BC"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AB2B769"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2116</w:t>
            </w:r>
          </w:p>
        </w:tc>
        <w:tc>
          <w:tcPr>
            <w:tcW w:w="4111" w:type="dxa"/>
            <w:tcBorders>
              <w:top w:val="nil"/>
              <w:left w:val="nil"/>
              <w:bottom w:val="single" w:sz="4" w:space="0" w:color="auto"/>
              <w:right w:val="single" w:sz="4" w:space="0" w:color="auto"/>
            </w:tcBorders>
            <w:shd w:val="clear" w:color="auto" w:fill="auto"/>
            <w:noWrap/>
            <w:hideMark/>
          </w:tcPr>
          <w:p w14:paraId="153328AA"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Intereses, comisiones y otros gastos de la deuda pública por pagar a corto plazo</w:t>
            </w:r>
          </w:p>
        </w:tc>
        <w:tc>
          <w:tcPr>
            <w:tcW w:w="709" w:type="dxa"/>
            <w:tcBorders>
              <w:top w:val="nil"/>
              <w:left w:val="nil"/>
              <w:bottom w:val="single" w:sz="4" w:space="0" w:color="auto"/>
              <w:right w:val="single" w:sz="4" w:space="0" w:color="auto"/>
            </w:tcBorders>
            <w:shd w:val="clear" w:color="auto" w:fill="auto"/>
            <w:noWrap/>
            <w:hideMark/>
          </w:tcPr>
          <w:p w14:paraId="66ABBC5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9000</w:t>
            </w:r>
          </w:p>
        </w:tc>
        <w:tc>
          <w:tcPr>
            <w:tcW w:w="1134" w:type="dxa"/>
            <w:tcBorders>
              <w:top w:val="nil"/>
              <w:left w:val="nil"/>
              <w:bottom w:val="single" w:sz="4" w:space="0" w:color="auto"/>
              <w:right w:val="single" w:sz="4" w:space="0" w:color="auto"/>
            </w:tcBorders>
            <w:shd w:val="clear" w:color="auto" w:fill="auto"/>
            <w:noWrap/>
            <w:hideMark/>
          </w:tcPr>
          <w:p w14:paraId="6565A42E"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0758709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66E4690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B5CA62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C25A1AA"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2119</w:t>
            </w:r>
          </w:p>
        </w:tc>
        <w:tc>
          <w:tcPr>
            <w:tcW w:w="4111" w:type="dxa"/>
            <w:tcBorders>
              <w:top w:val="nil"/>
              <w:left w:val="nil"/>
              <w:bottom w:val="single" w:sz="4" w:space="0" w:color="auto"/>
              <w:right w:val="single" w:sz="4" w:space="0" w:color="auto"/>
            </w:tcBorders>
            <w:shd w:val="clear" w:color="auto" w:fill="auto"/>
            <w:noWrap/>
            <w:hideMark/>
          </w:tcPr>
          <w:p w14:paraId="5AB7C9C7"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Otras 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57C4BB0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7000</w:t>
            </w:r>
          </w:p>
        </w:tc>
        <w:tc>
          <w:tcPr>
            <w:tcW w:w="1134" w:type="dxa"/>
            <w:tcBorders>
              <w:top w:val="nil"/>
              <w:left w:val="nil"/>
              <w:bottom w:val="single" w:sz="4" w:space="0" w:color="auto"/>
              <w:right w:val="single" w:sz="4" w:space="0" w:color="auto"/>
            </w:tcBorders>
            <w:shd w:val="clear" w:color="auto" w:fill="auto"/>
            <w:noWrap/>
            <w:hideMark/>
          </w:tcPr>
          <w:p w14:paraId="3147A5F4"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24B65423"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1C69C09"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bl>
    <w:p w14:paraId="6C5F6922" w14:textId="77777777" w:rsidR="007610BC" w:rsidRPr="007306C6" w:rsidRDefault="007610BC" w:rsidP="007610BC">
      <w:pPr>
        <w:spacing w:after="0" w:line="240" w:lineRule="auto"/>
        <w:jc w:val="both"/>
        <w:rPr>
          <w:rFonts w:cs="Calibri"/>
          <w:b/>
        </w:rPr>
      </w:pPr>
    </w:p>
    <w:p w14:paraId="23511FF6" w14:textId="77777777" w:rsidR="007610BC" w:rsidRPr="00E74967" w:rsidRDefault="007610BC" w:rsidP="007D1E76">
      <w:pPr>
        <w:jc w:val="both"/>
        <w:rPr>
          <w:rFonts w:cs="Calibri"/>
        </w:rPr>
      </w:pPr>
    </w:p>
    <w:sectPr w:rsidR="007610BC" w:rsidRPr="00E74967" w:rsidSect="00657009">
      <w:headerReference w:type="default" r:id="rId13"/>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9D351" w14:textId="77777777" w:rsidR="00800C90" w:rsidRDefault="00800C90" w:rsidP="00E00323">
      <w:pPr>
        <w:spacing w:after="0" w:line="240" w:lineRule="auto"/>
      </w:pPr>
      <w:r>
        <w:separator/>
      </w:r>
    </w:p>
  </w:endnote>
  <w:endnote w:type="continuationSeparator" w:id="0">
    <w:p w14:paraId="0D4CC645" w14:textId="77777777" w:rsidR="00800C90" w:rsidRDefault="00800C9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774DB" w14:textId="77777777" w:rsidR="00800C90" w:rsidRDefault="00800C90" w:rsidP="00E00323">
      <w:pPr>
        <w:spacing w:after="0" w:line="240" w:lineRule="auto"/>
      </w:pPr>
      <w:r>
        <w:separator/>
      </w:r>
    </w:p>
  </w:footnote>
  <w:footnote w:type="continuationSeparator" w:id="0">
    <w:p w14:paraId="768C39F4" w14:textId="77777777" w:rsidR="00800C90" w:rsidRDefault="00800C90"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C548F" w14:textId="4394FC62" w:rsidR="00154BA3" w:rsidRDefault="00D10435" w:rsidP="00154BA3">
    <w:pPr>
      <w:pStyle w:val="Encabezado"/>
      <w:jc w:val="center"/>
    </w:pPr>
    <w:r>
      <w:t>SISTEMA DE AGUA POTABLE Y ALCANTARILLADO DE ROMITA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C43"/>
    <w:multiLevelType w:val="hybridMultilevel"/>
    <w:tmpl w:val="C6D8DB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DA71D3F"/>
    <w:multiLevelType w:val="hybridMultilevel"/>
    <w:tmpl w:val="4766756E"/>
    <w:lvl w:ilvl="0" w:tplc="F05ED0A8">
      <w:start w:val="1"/>
      <w:numFmt w:val="upperRoman"/>
      <w:lvlText w:val="%1."/>
      <w:lvlJc w:val="left"/>
      <w:pPr>
        <w:ind w:left="1080" w:hanging="720"/>
      </w:pPr>
      <w:rPr>
        <w:rFonts w:ascii="Arial"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BA44004"/>
    <w:multiLevelType w:val="hybridMultilevel"/>
    <w:tmpl w:val="E59E90C6"/>
    <w:lvl w:ilvl="0" w:tplc="40D824E6">
      <w:start w:val="1"/>
      <w:numFmt w:val="upperRoman"/>
      <w:lvlText w:val="%1."/>
      <w:lvlJc w:val="left"/>
      <w:pPr>
        <w:ind w:left="1800" w:hanging="720"/>
      </w:pPr>
      <w:rPr>
        <w:rFonts w:cs="Times New Roman" w:hint="default"/>
        <w:color w:val="000000"/>
      </w:rPr>
    </w:lvl>
    <w:lvl w:ilvl="1" w:tplc="080A0019">
      <w:start w:val="1"/>
      <w:numFmt w:val="lowerLetter"/>
      <w:lvlText w:val="%2."/>
      <w:lvlJc w:val="left"/>
      <w:pPr>
        <w:ind w:left="2160" w:hanging="360"/>
      </w:pPr>
      <w:rPr>
        <w:rFonts w:cs="Times New Roman"/>
      </w:rPr>
    </w:lvl>
    <w:lvl w:ilvl="2" w:tplc="080A001B">
      <w:start w:val="1"/>
      <w:numFmt w:val="lowerRoman"/>
      <w:lvlText w:val="%3."/>
      <w:lvlJc w:val="right"/>
      <w:pPr>
        <w:ind w:left="2880" w:hanging="180"/>
      </w:pPr>
      <w:rPr>
        <w:rFonts w:cs="Times New Roman"/>
      </w:rPr>
    </w:lvl>
    <w:lvl w:ilvl="3" w:tplc="080A000F">
      <w:start w:val="1"/>
      <w:numFmt w:val="decimal"/>
      <w:lvlText w:val="%4."/>
      <w:lvlJc w:val="left"/>
      <w:pPr>
        <w:ind w:left="3600" w:hanging="360"/>
      </w:pPr>
      <w:rPr>
        <w:rFonts w:cs="Times New Roman"/>
      </w:rPr>
    </w:lvl>
    <w:lvl w:ilvl="4" w:tplc="080A0019">
      <w:start w:val="1"/>
      <w:numFmt w:val="lowerLetter"/>
      <w:lvlText w:val="%5."/>
      <w:lvlJc w:val="left"/>
      <w:pPr>
        <w:ind w:left="4320" w:hanging="360"/>
      </w:pPr>
      <w:rPr>
        <w:rFonts w:cs="Times New Roman"/>
      </w:rPr>
    </w:lvl>
    <w:lvl w:ilvl="5" w:tplc="080A001B">
      <w:start w:val="1"/>
      <w:numFmt w:val="lowerRoman"/>
      <w:lvlText w:val="%6."/>
      <w:lvlJc w:val="right"/>
      <w:pPr>
        <w:ind w:left="5040" w:hanging="180"/>
      </w:pPr>
      <w:rPr>
        <w:rFonts w:cs="Times New Roman"/>
      </w:rPr>
    </w:lvl>
    <w:lvl w:ilvl="6" w:tplc="080A000F">
      <w:start w:val="1"/>
      <w:numFmt w:val="decimal"/>
      <w:lvlText w:val="%7."/>
      <w:lvlJc w:val="left"/>
      <w:pPr>
        <w:ind w:left="5760" w:hanging="360"/>
      </w:pPr>
      <w:rPr>
        <w:rFonts w:cs="Times New Roman"/>
      </w:rPr>
    </w:lvl>
    <w:lvl w:ilvl="7" w:tplc="080A0019">
      <w:start w:val="1"/>
      <w:numFmt w:val="lowerLetter"/>
      <w:lvlText w:val="%8."/>
      <w:lvlJc w:val="left"/>
      <w:pPr>
        <w:ind w:left="6480" w:hanging="360"/>
      </w:pPr>
      <w:rPr>
        <w:rFonts w:cs="Times New Roman"/>
      </w:rPr>
    </w:lvl>
    <w:lvl w:ilvl="8" w:tplc="080A001B">
      <w:start w:val="1"/>
      <w:numFmt w:val="lowerRoman"/>
      <w:lvlText w:val="%9."/>
      <w:lvlJc w:val="right"/>
      <w:pPr>
        <w:ind w:left="7200" w:hanging="180"/>
      </w:pPr>
      <w:rPr>
        <w:rFonts w:cs="Times New Roman"/>
      </w:rPr>
    </w:lvl>
  </w:abstractNum>
  <w:abstractNum w:abstractNumId="3">
    <w:nsid w:val="3E9638D8"/>
    <w:multiLevelType w:val="hybridMultilevel"/>
    <w:tmpl w:val="EB46906A"/>
    <w:lvl w:ilvl="0" w:tplc="C066A9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4E7193E"/>
    <w:multiLevelType w:val="hybridMultilevel"/>
    <w:tmpl w:val="E59E90C6"/>
    <w:lvl w:ilvl="0" w:tplc="40D824E6">
      <w:start w:val="1"/>
      <w:numFmt w:val="upperRoman"/>
      <w:lvlText w:val="%1."/>
      <w:lvlJc w:val="left"/>
      <w:pPr>
        <w:ind w:left="1800" w:hanging="720"/>
      </w:pPr>
      <w:rPr>
        <w:rFonts w:cs="Times New Roman" w:hint="default"/>
        <w:color w:val="000000"/>
      </w:rPr>
    </w:lvl>
    <w:lvl w:ilvl="1" w:tplc="080A0019">
      <w:start w:val="1"/>
      <w:numFmt w:val="lowerLetter"/>
      <w:lvlText w:val="%2."/>
      <w:lvlJc w:val="left"/>
      <w:pPr>
        <w:ind w:left="2160" w:hanging="360"/>
      </w:pPr>
      <w:rPr>
        <w:rFonts w:cs="Times New Roman"/>
      </w:rPr>
    </w:lvl>
    <w:lvl w:ilvl="2" w:tplc="080A001B">
      <w:start w:val="1"/>
      <w:numFmt w:val="lowerRoman"/>
      <w:lvlText w:val="%3."/>
      <w:lvlJc w:val="right"/>
      <w:pPr>
        <w:ind w:left="2880" w:hanging="180"/>
      </w:pPr>
      <w:rPr>
        <w:rFonts w:cs="Times New Roman"/>
      </w:rPr>
    </w:lvl>
    <w:lvl w:ilvl="3" w:tplc="080A000F">
      <w:start w:val="1"/>
      <w:numFmt w:val="decimal"/>
      <w:lvlText w:val="%4."/>
      <w:lvlJc w:val="left"/>
      <w:pPr>
        <w:ind w:left="3600" w:hanging="360"/>
      </w:pPr>
      <w:rPr>
        <w:rFonts w:cs="Times New Roman"/>
      </w:rPr>
    </w:lvl>
    <w:lvl w:ilvl="4" w:tplc="080A0019">
      <w:start w:val="1"/>
      <w:numFmt w:val="lowerLetter"/>
      <w:lvlText w:val="%5."/>
      <w:lvlJc w:val="left"/>
      <w:pPr>
        <w:ind w:left="4320" w:hanging="360"/>
      </w:pPr>
      <w:rPr>
        <w:rFonts w:cs="Times New Roman"/>
      </w:rPr>
    </w:lvl>
    <w:lvl w:ilvl="5" w:tplc="080A001B">
      <w:start w:val="1"/>
      <w:numFmt w:val="lowerRoman"/>
      <w:lvlText w:val="%6."/>
      <w:lvlJc w:val="right"/>
      <w:pPr>
        <w:ind w:left="5040" w:hanging="180"/>
      </w:pPr>
      <w:rPr>
        <w:rFonts w:cs="Times New Roman"/>
      </w:rPr>
    </w:lvl>
    <w:lvl w:ilvl="6" w:tplc="080A000F">
      <w:start w:val="1"/>
      <w:numFmt w:val="decimal"/>
      <w:lvlText w:val="%7."/>
      <w:lvlJc w:val="left"/>
      <w:pPr>
        <w:ind w:left="5760" w:hanging="360"/>
      </w:pPr>
      <w:rPr>
        <w:rFonts w:cs="Times New Roman"/>
      </w:rPr>
    </w:lvl>
    <w:lvl w:ilvl="7" w:tplc="080A0019">
      <w:start w:val="1"/>
      <w:numFmt w:val="lowerLetter"/>
      <w:lvlText w:val="%8."/>
      <w:lvlJc w:val="left"/>
      <w:pPr>
        <w:ind w:left="6480" w:hanging="360"/>
      </w:pPr>
      <w:rPr>
        <w:rFonts w:cs="Times New Roman"/>
      </w:rPr>
    </w:lvl>
    <w:lvl w:ilvl="8" w:tplc="080A001B">
      <w:start w:val="1"/>
      <w:numFmt w:val="lowerRoman"/>
      <w:lvlText w:val="%9."/>
      <w:lvlJc w:val="right"/>
      <w:pPr>
        <w:ind w:left="7200" w:hanging="180"/>
      </w:pPr>
      <w:rPr>
        <w:rFonts w:cs="Times New Roman"/>
      </w:rPr>
    </w:lvl>
  </w:abstractNum>
  <w:abstractNum w:abstractNumId="5">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50239"/>
    <w:rsid w:val="00091CE6"/>
    <w:rsid w:val="000A63E8"/>
    <w:rsid w:val="000B7810"/>
    <w:rsid w:val="00137BB4"/>
    <w:rsid w:val="00154BA3"/>
    <w:rsid w:val="00160139"/>
    <w:rsid w:val="001729A6"/>
    <w:rsid w:val="00192858"/>
    <w:rsid w:val="001973A2"/>
    <w:rsid w:val="001C75F2"/>
    <w:rsid w:val="001D2063"/>
    <w:rsid w:val="0025497B"/>
    <w:rsid w:val="002679F4"/>
    <w:rsid w:val="002F6113"/>
    <w:rsid w:val="00340171"/>
    <w:rsid w:val="003A24FF"/>
    <w:rsid w:val="00435A87"/>
    <w:rsid w:val="004A58C8"/>
    <w:rsid w:val="004B37E2"/>
    <w:rsid w:val="00502313"/>
    <w:rsid w:val="005D3E43"/>
    <w:rsid w:val="005E231E"/>
    <w:rsid w:val="00657009"/>
    <w:rsid w:val="00660707"/>
    <w:rsid w:val="00681C79"/>
    <w:rsid w:val="007610BC"/>
    <w:rsid w:val="007714AB"/>
    <w:rsid w:val="007D1E76"/>
    <w:rsid w:val="00800C90"/>
    <w:rsid w:val="00814F31"/>
    <w:rsid w:val="0086459F"/>
    <w:rsid w:val="008E076C"/>
    <w:rsid w:val="008F4F18"/>
    <w:rsid w:val="00A13EDB"/>
    <w:rsid w:val="00AA41E5"/>
    <w:rsid w:val="00AD7D91"/>
    <w:rsid w:val="00AE1F6A"/>
    <w:rsid w:val="00C2014E"/>
    <w:rsid w:val="00D10435"/>
    <w:rsid w:val="00D13C44"/>
    <w:rsid w:val="00D975B1"/>
    <w:rsid w:val="00E00323"/>
    <w:rsid w:val="00E33A6F"/>
    <w:rsid w:val="00E74967"/>
    <w:rsid w:val="00EA7915"/>
    <w:rsid w:val="00EB5A19"/>
    <w:rsid w:val="00FA5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paragraph" w:customStyle="1" w:styleId="Prrafodelista1">
    <w:name w:val="Párrafo de lista1"/>
    <w:basedOn w:val="Normal"/>
    <w:rsid w:val="00137BB4"/>
    <w:pPr>
      <w:spacing w:after="0" w:line="240" w:lineRule="auto"/>
      <w:ind w:left="708"/>
    </w:pPr>
    <w:rPr>
      <w:rFonts w:ascii="Times New Roman" w:hAnsi="Times New Roman"/>
      <w:sz w:val="24"/>
      <w:szCs w:val="24"/>
      <w:lang w:eastAsia="es-ES"/>
    </w:rPr>
  </w:style>
  <w:style w:type="table" w:styleId="Tablaconcuadrcula">
    <w:name w:val="Table Grid"/>
    <w:basedOn w:val="Tablanormal"/>
    <w:uiPriority w:val="59"/>
    <w:rsid w:val="00AD7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C2014E"/>
    <w:pPr>
      <w:spacing w:after="0" w:line="240" w:lineRule="auto"/>
      <w:jc w:val="both"/>
    </w:pPr>
    <w:rPr>
      <w:rFonts w:ascii="Century Gothic" w:hAnsi="Century Gothic"/>
      <w:sz w:val="24"/>
      <w:szCs w:val="24"/>
      <w:lang w:val="es-ES" w:eastAsia="es-ES"/>
    </w:rPr>
  </w:style>
  <w:style w:type="character" w:customStyle="1" w:styleId="TextoindependienteCar">
    <w:name w:val="Texto independiente Car"/>
    <w:basedOn w:val="Fuentedeprrafopredeter"/>
    <w:link w:val="Textoindependiente"/>
    <w:rsid w:val="00C2014E"/>
    <w:rPr>
      <w:rFonts w:ascii="Century Gothic" w:hAnsi="Century Gothic"/>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paragraph" w:customStyle="1" w:styleId="Prrafodelista1">
    <w:name w:val="Párrafo de lista1"/>
    <w:basedOn w:val="Normal"/>
    <w:rsid w:val="00137BB4"/>
    <w:pPr>
      <w:spacing w:after="0" w:line="240" w:lineRule="auto"/>
      <w:ind w:left="708"/>
    </w:pPr>
    <w:rPr>
      <w:rFonts w:ascii="Times New Roman" w:hAnsi="Times New Roman"/>
      <w:sz w:val="24"/>
      <w:szCs w:val="24"/>
      <w:lang w:eastAsia="es-ES"/>
    </w:rPr>
  </w:style>
  <w:style w:type="table" w:styleId="Tablaconcuadrcula">
    <w:name w:val="Table Grid"/>
    <w:basedOn w:val="Tablanormal"/>
    <w:uiPriority w:val="59"/>
    <w:rsid w:val="00AD7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C2014E"/>
    <w:pPr>
      <w:spacing w:after="0" w:line="240" w:lineRule="auto"/>
      <w:jc w:val="both"/>
    </w:pPr>
    <w:rPr>
      <w:rFonts w:ascii="Century Gothic" w:hAnsi="Century Gothic"/>
      <w:sz w:val="24"/>
      <w:szCs w:val="24"/>
      <w:lang w:val="es-ES" w:eastAsia="es-ES"/>
    </w:rPr>
  </w:style>
  <w:style w:type="character" w:customStyle="1" w:styleId="TextoindependienteCar">
    <w:name w:val="Texto independiente Car"/>
    <w:basedOn w:val="Fuentedeprrafopredeter"/>
    <w:link w:val="Textoindependiente"/>
    <w:rsid w:val="00C2014E"/>
    <w:rPr>
      <w:rFonts w:ascii="Century Gothic" w:hAnsi="Century Gothic"/>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11</Pages>
  <Words>3571</Words>
  <Characters>19644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23169</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contador</cp:lastModifiedBy>
  <cp:revision>11</cp:revision>
  <dcterms:created xsi:type="dcterms:W3CDTF">2017-01-12T05:27:00Z</dcterms:created>
  <dcterms:modified xsi:type="dcterms:W3CDTF">2018-01-25T21:11:00Z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